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52" w:rsidRDefault="00BB610E" w:rsidP="00BB610E">
      <w:pPr>
        <w:tabs>
          <w:tab w:val="left" w:pos="3828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</w:t>
      </w:r>
    </w:p>
    <w:p w:rsidR="00D10C24" w:rsidRPr="00B334C1" w:rsidRDefault="00EC4552" w:rsidP="00EC4552">
      <w:pPr>
        <w:tabs>
          <w:tab w:val="left" w:pos="3828"/>
        </w:tabs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       </w:t>
      </w:r>
      <w:r w:rsidR="00BB610E" w:rsidRPr="00B334C1">
        <w:rPr>
          <w:rFonts w:ascii="Tahoma" w:hAnsi="Tahoma" w:cs="Tahoma"/>
          <w:b/>
          <w:bCs/>
          <w:color w:val="000000"/>
          <w:sz w:val="20"/>
        </w:rPr>
        <w:t>LEI Nº 593</w:t>
      </w:r>
      <w:r w:rsidR="00D10C24" w:rsidRPr="00B334C1">
        <w:rPr>
          <w:rFonts w:ascii="Tahoma" w:hAnsi="Tahoma" w:cs="Tahoma"/>
          <w:b/>
          <w:bCs/>
          <w:color w:val="000000"/>
          <w:sz w:val="20"/>
        </w:rPr>
        <w:t>/201</w:t>
      </w:r>
      <w:r w:rsidR="00D44638" w:rsidRPr="00B334C1">
        <w:rPr>
          <w:rFonts w:ascii="Tahoma" w:hAnsi="Tahoma" w:cs="Tahoma"/>
          <w:b/>
          <w:bCs/>
          <w:color w:val="000000"/>
          <w:sz w:val="20"/>
        </w:rPr>
        <w:t>8</w:t>
      </w:r>
    </w:p>
    <w:p w:rsidR="00BB610E" w:rsidRPr="00B334C1" w:rsidRDefault="00BB610E" w:rsidP="00BB610E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</w:rPr>
      </w:pPr>
    </w:p>
    <w:p w:rsidR="00D10C24" w:rsidRPr="00B334C1" w:rsidRDefault="00D10C24" w:rsidP="00D10C2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:rsidR="00D10C24" w:rsidRPr="00B334C1" w:rsidRDefault="00D10C24" w:rsidP="00BB610E">
      <w:pPr>
        <w:autoSpaceDE w:val="0"/>
        <w:autoSpaceDN w:val="0"/>
        <w:adjustRightInd w:val="0"/>
        <w:ind w:left="3828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Institui o Órgão Oficial Eletrônico do Município de Quarto Centenário, Estado do Paraná.</w:t>
      </w:r>
    </w:p>
    <w:p w:rsidR="00BB610E" w:rsidRPr="00B334C1" w:rsidRDefault="00BB610E" w:rsidP="00BB610E">
      <w:pPr>
        <w:autoSpaceDE w:val="0"/>
        <w:autoSpaceDN w:val="0"/>
        <w:adjustRightInd w:val="0"/>
        <w:ind w:left="3828"/>
        <w:jc w:val="both"/>
        <w:rPr>
          <w:rFonts w:ascii="Tahoma" w:hAnsi="Tahoma" w:cs="Tahoma"/>
          <w:color w:val="000000"/>
          <w:sz w:val="20"/>
        </w:rPr>
      </w:pPr>
    </w:p>
    <w:p w:rsidR="00BB610E" w:rsidRPr="00B334C1" w:rsidRDefault="00BB610E" w:rsidP="00D10C2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:rsidR="00BB610E" w:rsidRPr="00B334C1" w:rsidRDefault="00BB610E" w:rsidP="00BB610E">
      <w:pPr>
        <w:tabs>
          <w:tab w:val="left" w:pos="3060"/>
        </w:tabs>
        <w:ind w:firstLine="3828"/>
        <w:jc w:val="both"/>
        <w:rPr>
          <w:rFonts w:ascii="Tahoma" w:hAnsi="Tahoma" w:cs="Tahoma"/>
          <w:sz w:val="20"/>
        </w:rPr>
      </w:pPr>
      <w:r w:rsidRPr="00B334C1">
        <w:rPr>
          <w:rFonts w:ascii="Tahoma" w:hAnsi="Tahoma" w:cs="Tahoma"/>
          <w:sz w:val="20"/>
        </w:rPr>
        <w:t xml:space="preserve">A </w:t>
      </w:r>
      <w:r w:rsidRPr="00B334C1">
        <w:rPr>
          <w:rFonts w:ascii="Tahoma" w:hAnsi="Tahoma" w:cs="Tahoma"/>
          <w:b/>
          <w:sz w:val="20"/>
        </w:rPr>
        <w:t>CÂMARA MUNICIPAL DE QUARTO CENTENÁRIO</w:t>
      </w:r>
      <w:r w:rsidRPr="00B334C1">
        <w:rPr>
          <w:rFonts w:ascii="Tahoma" w:hAnsi="Tahoma" w:cs="Tahoma"/>
          <w:sz w:val="20"/>
        </w:rPr>
        <w:t xml:space="preserve">, Estado do Paraná, aprovou e eu, </w:t>
      </w:r>
      <w:r w:rsidRPr="00B334C1">
        <w:rPr>
          <w:rFonts w:ascii="Tahoma" w:hAnsi="Tahoma" w:cs="Tahoma"/>
          <w:b/>
          <w:sz w:val="20"/>
        </w:rPr>
        <w:t>REINALDO KRACHINSKI</w:t>
      </w:r>
      <w:r w:rsidRPr="00B334C1">
        <w:rPr>
          <w:rFonts w:ascii="Tahoma" w:hAnsi="Tahoma" w:cs="Tahoma"/>
          <w:sz w:val="20"/>
        </w:rPr>
        <w:t>, Prefeito Municipal, sanciono a seguinte Lei:</w:t>
      </w:r>
    </w:p>
    <w:p w:rsidR="00BB610E" w:rsidRPr="00B334C1" w:rsidRDefault="00BB610E" w:rsidP="00D10C2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:rsidR="00D10C24" w:rsidRPr="00B334C1" w:rsidRDefault="00D10C24" w:rsidP="00D10C2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1º </w:t>
      </w:r>
      <w:r w:rsidRPr="00B334C1">
        <w:rPr>
          <w:rFonts w:ascii="Tahoma" w:hAnsi="Tahoma" w:cs="Tahoma"/>
          <w:color w:val="000000"/>
          <w:sz w:val="20"/>
        </w:rPr>
        <w:t>Esta Lei institui o Órgão Oficial Eletrônico do Município de Quarto Centenário.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2º </w:t>
      </w:r>
      <w:r w:rsidRPr="00B334C1">
        <w:rPr>
          <w:rFonts w:ascii="Tahoma" w:hAnsi="Tahoma" w:cs="Tahoma"/>
          <w:color w:val="000000"/>
          <w:sz w:val="20"/>
        </w:rPr>
        <w:t>Fica instituído o Órgão Oficial Eletrônico do Município de Quarto Centenário, que será publicado eletronicamente na rede mundial de computadores, como meio oficial destinado a dar publicidade e divulgação aos atos legislativos e administrativos dos Poderes Legislativo e Executivo do Município e aos atos dos conselhos e órgãos da administração indireta do Município, ressalvados aqueles que a lei determine que sejam publicados por meio de veículo de comunicação impresso.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 xml:space="preserve">Parágrafo único. O Órgão Oficial Eletrônico do Município de Quarto Centenário será veiculado gratuitamente no endereço eletrônico </w:t>
      </w:r>
      <w:r w:rsidRPr="00B334C1">
        <w:rPr>
          <w:rFonts w:ascii="Tahoma" w:hAnsi="Tahoma" w:cs="Tahoma"/>
          <w:b/>
          <w:bCs/>
          <w:color w:val="000000"/>
          <w:sz w:val="20"/>
        </w:rPr>
        <w:t>www.quartocentenario.pr.gov.br</w:t>
      </w:r>
      <w:r w:rsidRPr="00B334C1">
        <w:rPr>
          <w:rFonts w:ascii="Tahoma" w:hAnsi="Tahoma" w:cs="Tahoma"/>
          <w:color w:val="000000"/>
          <w:sz w:val="20"/>
        </w:rPr>
        <w:t xml:space="preserve">, na rede mundial de computadores – Internet, e estará disponível para impressão e utilização por todos os interessados em qualquer lugar ou equipamento que tenha acesso à Internet, substituindo a publicação em veículo de comunicação impresso dos atos referidos no </w:t>
      </w:r>
      <w:r w:rsidRPr="00B334C1">
        <w:rPr>
          <w:rFonts w:ascii="Tahoma" w:hAnsi="Tahoma" w:cs="Tahoma"/>
          <w:b/>
          <w:bCs/>
          <w:color w:val="000000"/>
          <w:sz w:val="20"/>
        </w:rPr>
        <w:t xml:space="preserve">caput </w:t>
      </w:r>
      <w:r w:rsidRPr="00B334C1">
        <w:rPr>
          <w:rFonts w:ascii="Tahoma" w:hAnsi="Tahoma" w:cs="Tahoma"/>
          <w:color w:val="000000"/>
          <w:sz w:val="20"/>
        </w:rPr>
        <w:t>deste artigo, salvo as exceções previstas em lei.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3º </w:t>
      </w:r>
      <w:r w:rsidRPr="00B334C1">
        <w:rPr>
          <w:rFonts w:ascii="Tahoma" w:hAnsi="Tahoma" w:cs="Tahoma"/>
          <w:color w:val="000000"/>
          <w:sz w:val="20"/>
        </w:rPr>
        <w:t xml:space="preserve">A publicação do órgão oficial de que trata esta Lei atenderá aos requisitos de autenticidade, integridade, validade jurídica e interoperabilidade da Infraestrutura de Chaves </w:t>
      </w:r>
      <w:proofErr w:type="gramStart"/>
      <w:r w:rsidRPr="00B334C1">
        <w:rPr>
          <w:rFonts w:ascii="Tahoma" w:hAnsi="Tahoma" w:cs="Tahoma"/>
          <w:color w:val="000000"/>
          <w:sz w:val="20"/>
        </w:rPr>
        <w:t>Públicas Brasileira</w:t>
      </w:r>
      <w:proofErr w:type="gramEnd"/>
      <w:r w:rsidRPr="00B334C1">
        <w:rPr>
          <w:rFonts w:ascii="Tahoma" w:hAnsi="Tahoma" w:cs="Tahoma"/>
          <w:color w:val="000000"/>
          <w:sz w:val="20"/>
        </w:rPr>
        <w:t xml:space="preserve"> – ICP-Brasil.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 xml:space="preserve">Parágrafo único. A assinatura digital do Órgão Oficial Eletrônico deverá ser delegada </w:t>
      </w:r>
      <w:proofErr w:type="gramStart"/>
      <w:r w:rsidRPr="00B334C1">
        <w:rPr>
          <w:rFonts w:ascii="Tahoma" w:hAnsi="Tahoma" w:cs="Tahoma"/>
          <w:color w:val="000000"/>
          <w:sz w:val="20"/>
        </w:rPr>
        <w:t>a servidor</w:t>
      </w:r>
      <w:proofErr w:type="gramEnd"/>
      <w:r w:rsidRPr="00B334C1">
        <w:rPr>
          <w:rFonts w:ascii="Tahoma" w:hAnsi="Tahoma" w:cs="Tahoma"/>
          <w:color w:val="000000"/>
          <w:sz w:val="20"/>
        </w:rPr>
        <w:t xml:space="preserve"> do quadro de pessoal efetivo e/ou Cargo em Comissão do Município.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4º </w:t>
      </w:r>
      <w:r w:rsidRPr="00B334C1">
        <w:rPr>
          <w:rFonts w:ascii="Tahoma" w:hAnsi="Tahoma" w:cs="Tahoma"/>
          <w:color w:val="000000"/>
          <w:sz w:val="20"/>
        </w:rPr>
        <w:t>O Órgão Oficial Eletrônico será publicado diariamente, exceto nos dias em que não haja matéria a ser veiculada com urgência.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>Art. 5º</w:t>
      </w:r>
      <w:proofErr w:type="gramStart"/>
      <w:r w:rsidRPr="00B334C1">
        <w:rPr>
          <w:rFonts w:ascii="Tahoma" w:hAnsi="Tahoma" w:cs="Tahoma"/>
          <w:b/>
          <w:bCs/>
          <w:color w:val="000000"/>
          <w:sz w:val="20"/>
        </w:rPr>
        <w:t xml:space="preserve">  </w:t>
      </w:r>
      <w:proofErr w:type="gramEnd"/>
      <w:r w:rsidRPr="00B334C1">
        <w:rPr>
          <w:rFonts w:ascii="Tahoma" w:hAnsi="Tahoma" w:cs="Tahoma"/>
          <w:color w:val="000000"/>
          <w:sz w:val="20"/>
        </w:rPr>
        <w:t>Todas as edições do órgão oficial de que trata esta Lei deverão conter: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I – no cabeçalho: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a) o brasão do Município;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b) o título “ÓRGÃO OFICIAL ELETRÔNICO DO MUNICÍPIO DE QUARTO CENTENÁRIO”;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c) a citação numérica desta Lei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d) o nome do órgão responsável pela publicação com a referência à autenticação digital;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lastRenderedPageBreak/>
        <w:t>e) o ano de edição;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f) o local e data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g) o número da edição;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>h) a numeração sequencial de páginas.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6º </w:t>
      </w:r>
      <w:r w:rsidRPr="00B334C1">
        <w:rPr>
          <w:rFonts w:ascii="Tahoma" w:hAnsi="Tahoma" w:cs="Tahoma"/>
          <w:color w:val="000000"/>
          <w:sz w:val="20"/>
        </w:rPr>
        <w:t>A edição e a publicação do órgão oficial instituído por esta Lei caberão à Secretaria Municipal da Administração.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>Art. 7º</w:t>
      </w:r>
      <w:r w:rsidRPr="00B334C1">
        <w:rPr>
          <w:rFonts w:ascii="Tahoma" w:hAnsi="Tahoma" w:cs="Tahoma"/>
          <w:color w:val="000000"/>
          <w:sz w:val="20"/>
        </w:rPr>
        <w:t>Competem ao setor de informática do Município a manutenção, o funcionamento e a assinatura digital do sítio eletrônico do Município, assim como a responsabilidade pelo sistema de segurança de acesso, pela preservação dos dados disponibilizados e pela realização das cópias de segurança do órgão oficial.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8º </w:t>
      </w:r>
      <w:r w:rsidRPr="00B334C1">
        <w:rPr>
          <w:rFonts w:ascii="Tahoma" w:hAnsi="Tahoma" w:cs="Tahoma"/>
          <w:color w:val="000000"/>
          <w:sz w:val="20"/>
        </w:rPr>
        <w:t>A veiculação do Órgão Oficial Eletrônico do Município de Quarto Centenário terá início em 0</w:t>
      </w:r>
      <w:r w:rsidR="00D44638" w:rsidRPr="00B334C1">
        <w:rPr>
          <w:rFonts w:ascii="Tahoma" w:hAnsi="Tahoma" w:cs="Tahoma"/>
          <w:color w:val="000000"/>
          <w:sz w:val="20"/>
        </w:rPr>
        <w:t>2</w:t>
      </w:r>
      <w:r w:rsidRPr="00B334C1">
        <w:rPr>
          <w:rFonts w:ascii="Tahoma" w:hAnsi="Tahoma" w:cs="Tahoma"/>
          <w:color w:val="000000"/>
          <w:sz w:val="20"/>
        </w:rPr>
        <w:t>/0</w:t>
      </w:r>
      <w:r w:rsidR="00D44638" w:rsidRPr="00B334C1">
        <w:rPr>
          <w:rFonts w:ascii="Tahoma" w:hAnsi="Tahoma" w:cs="Tahoma"/>
          <w:color w:val="000000"/>
          <w:sz w:val="20"/>
        </w:rPr>
        <w:t>4</w:t>
      </w:r>
      <w:r w:rsidRPr="00B334C1">
        <w:rPr>
          <w:rFonts w:ascii="Tahoma" w:hAnsi="Tahoma" w:cs="Tahoma"/>
          <w:color w:val="000000"/>
          <w:sz w:val="20"/>
        </w:rPr>
        <w:t>/2018.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color w:val="000000"/>
          <w:sz w:val="20"/>
        </w:rPr>
        <w:t xml:space="preserve">Parágrafo único. </w:t>
      </w:r>
      <w:proofErr w:type="gramStart"/>
      <w:r w:rsidRPr="00B334C1">
        <w:rPr>
          <w:rFonts w:ascii="Tahoma" w:hAnsi="Tahoma" w:cs="Tahoma"/>
          <w:color w:val="000000"/>
          <w:sz w:val="20"/>
        </w:rPr>
        <w:t>A critério</w:t>
      </w:r>
      <w:proofErr w:type="gramEnd"/>
      <w:r w:rsidRPr="00B334C1">
        <w:rPr>
          <w:rFonts w:ascii="Tahoma" w:hAnsi="Tahoma" w:cs="Tahoma"/>
          <w:color w:val="000000"/>
          <w:sz w:val="20"/>
        </w:rPr>
        <w:t xml:space="preserve"> da administração, de acordo com a conveniência e a necessidade, poderá ser determinada a publicação complementar de quaisquer atos em órgão de comunicação oficial impresso.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 xml:space="preserve">Art. 9º </w:t>
      </w:r>
      <w:r w:rsidRPr="00B334C1">
        <w:rPr>
          <w:rFonts w:ascii="Tahoma" w:hAnsi="Tahoma" w:cs="Tahoma"/>
          <w:color w:val="000000"/>
          <w:sz w:val="20"/>
        </w:rPr>
        <w:t>A organização do serviço de publicação do órgão oficial instituído por esta Lei e as demais normas para a sua veiculação serão estabelecidas em regulamento.</w:t>
      </w:r>
    </w:p>
    <w:p w:rsidR="00D10C24" w:rsidRPr="00B334C1" w:rsidRDefault="00D10C24" w:rsidP="007612E8">
      <w:pPr>
        <w:autoSpaceDE w:val="0"/>
        <w:autoSpaceDN w:val="0"/>
        <w:adjustRightInd w:val="0"/>
        <w:spacing w:before="40" w:after="40" w:line="360" w:lineRule="auto"/>
        <w:jc w:val="both"/>
        <w:rPr>
          <w:rFonts w:ascii="Tahoma" w:hAnsi="Tahoma" w:cs="Tahoma"/>
          <w:color w:val="000000"/>
          <w:sz w:val="20"/>
        </w:rPr>
      </w:pPr>
      <w:r w:rsidRPr="00B334C1">
        <w:rPr>
          <w:rFonts w:ascii="Tahoma" w:hAnsi="Tahoma" w:cs="Tahoma"/>
          <w:b/>
          <w:bCs/>
          <w:color w:val="000000"/>
          <w:sz w:val="20"/>
        </w:rPr>
        <w:t>Art. 10</w:t>
      </w:r>
      <w:r w:rsidR="00897F95" w:rsidRPr="00B334C1">
        <w:rPr>
          <w:rFonts w:ascii="Tahoma" w:hAnsi="Tahoma" w:cs="Tahoma"/>
          <w:b/>
          <w:bCs/>
          <w:color w:val="000000"/>
          <w:sz w:val="20"/>
        </w:rPr>
        <w:t>.</w:t>
      </w:r>
      <w:r w:rsidR="00EC4552" w:rsidRPr="00B334C1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Pr="00B334C1">
        <w:rPr>
          <w:rFonts w:ascii="Tahoma" w:hAnsi="Tahoma" w:cs="Tahoma"/>
          <w:color w:val="000000"/>
          <w:sz w:val="20"/>
        </w:rPr>
        <w:t xml:space="preserve">Esta Lei entra em vigor </w:t>
      </w:r>
      <w:r w:rsidR="00C67801">
        <w:rPr>
          <w:rFonts w:ascii="Tahoma" w:hAnsi="Tahoma" w:cs="Tahoma"/>
          <w:color w:val="000000"/>
          <w:sz w:val="20"/>
        </w:rPr>
        <w:t xml:space="preserve">no dia dois </w:t>
      </w:r>
      <w:r w:rsidR="006F73E8">
        <w:rPr>
          <w:rFonts w:ascii="Tahoma" w:hAnsi="Tahoma" w:cs="Tahoma"/>
          <w:color w:val="000000"/>
          <w:sz w:val="20"/>
        </w:rPr>
        <w:t xml:space="preserve">de </w:t>
      </w:r>
      <w:r w:rsidR="00B61296">
        <w:rPr>
          <w:rFonts w:ascii="Tahoma" w:hAnsi="Tahoma" w:cs="Tahoma"/>
          <w:color w:val="000000"/>
          <w:sz w:val="20"/>
        </w:rPr>
        <w:t>abril</w:t>
      </w:r>
      <w:r w:rsidR="006F73E8">
        <w:rPr>
          <w:rFonts w:ascii="Tahoma" w:hAnsi="Tahoma" w:cs="Tahoma"/>
          <w:color w:val="000000"/>
          <w:sz w:val="20"/>
        </w:rPr>
        <w:t xml:space="preserve"> de</w:t>
      </w:r>
      <w:r w:rsidR="00C67801">
        <w:rPr>
          <w:rFonts w:ascii="Tahoma" w:hAnsi="Tahoma" w:cs="Tahoma"/>
          <w:color w:val="000000"/>
          <w:sz w:val="20"/>
        </w:rPr>
        <w:t xml:space="preserve"> dois mil e dezoito</w:t>
      </w:r>
      <w:r w:rsidRPr="00B334C1">
        <w:rPr>
          <w:rFonts w:ascii="Tahoma" w:hAnsi="Tahoma" w:cs="Tahoma"/>
          <w:color w:val="000000"/>
          <w:sz w:val="20"/>
        </w:rPr>
        <w:t>, revoga</w:t>
      </w:r>
      <w:r w:rsidR="00C67801">
        <w:rPr>
          <w:rFonts w:ascii="Tahoma" w:hAnsi="Tahoma" w:cs="Tahoma"/>
          <w:color w:val="000000"/>
          <w:sz w:val="20"/>
        </w:rPr>
        <w:t>ndo</w:t>
      </w:r>
      <w:r w:rsidRPr="00B334C1">
        <w:rPr>
          <w:rFonts w:ascii="Tahoma" w:hAnsi="Tahoma" w:cs="Tahoma"/>
          <w:color w:val="000000"/>
          <w:sz w:val="20"/>
        </w:rPr>
        <w:t>-se a Lei Municipal n</w:t>
      </w:r>
      <w:r w:rsidRPr="00B334C1">
        <w:rPr>
          <w:rFonts w:ascii="Tahoma" w:hAnsi="Tahoma" w:cs="Tahoma"/>
          <w:b/>
          <w:bCs/>
          <w:color w:val="000000"/>
          <w:sz w:val="20"/>
        </w:rPr>
        <w:t>º</w:t>
      </w:r>
      <w:r w:rsidRPr="00B334C1">
        <w:rPr>
          <w:rFonts w:ascii="Tahoma" w:hAnsi="Tahoma" w:cs="Tahoma"/>
          <w:color w:val="000000"/>
          <w:sz w:val="20"/>
        </w:rPr>
        <w:t xml:space="preserve"> 164, de 27 de maio de 2003.</w:t>
      </w:r>
    </w:p>
    <w:p w:rsidR="00D10C24" w:rsidRPr="00B334C1" w:rsidRDefault="00D10C24" w:rsidP="00D10C24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:rsidR="00B334C1" w:rsidRPr="00B334C1" w:rsidRDefault="00B334C1" w:rsidP="00B334C1">
      <w:pPr>
        <w:jc w:val="center"/>
        <w:rPr>
          <w:rFonts w:ascii="Tahoma" w:hAnsi="Tahoma" w:cs="Tahoma"/>
          <w:sz w:val="20"/>
        </w:rPr>
      </w:pPr>
      <w:r w:rsidRPr="00B334C1">
        <w:rPr>
          <w:rFonts w:ascii="Tahoma" w:hAnsi="Tahoma" w:cs="Tahoma"/>
          <w:sz w:val="20"/>
        </w:rPr>
        <w:tab/>
        <w:t>PAÇO MUNICIPAL “29 de Abril”</w:t>
      </w:r>
    </w:p>
    <w:p w:rsidR="00B334C1" w:rsidRPr="00B334C1" w:rsidRDefault="008127CF" w:rsidP="00B334C1">
      <w:pPr>
        <w:tabs>
          <w:tab w:val="left" w:pos="2730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B334C1" w:rsidRPr="00B334C1">
        <w:rPr>
          <w:rFonts w:ascii="Tahoma" w:hAnsi="Tahoma" w:cs="Tahoma"/>
          <w:sz w:val="20"/>
        </w:rPr>
        <w:t xml:space="preserve">Quarto Centenário – Paraná, </w:t>
      </w:r>
      <w:r w:rsidR="00E91079">
        <w:rPr>
          <w:rFonts w:ascii="Tahoma" w:hAnsi="Tahoma" w:cs="Tahoma"/>
          <w:sz w:val="20"/>
        </w:rPr>
        <w:t>13</w:t>
      </w:r>
      <w:r w:rsidR="00B334C1" w:rsidRPr="00B334C1">
        <w:rPr>
          <w:rFonts w:ascii="Tahoma" w:hAnsi="Tahoma" w:cs="Tahoma"/>
          <w:sz w:val="20"/>
        </w:rPr>
        <w:t xml:space="preserve"> de </w:t>
      </w:r>
      <w:r w:rsidR="00E91079">
        <w:rPr>
          <w:rFonts w:ascii="Tahoma" w:hAnsi="Tahoma" w:cs="Tahoma"/>
          <w:sz w:val="20"/>
        </w:rPr>
        <w:t xml:space="preserve">Março </w:t>
      </w:r>
      <w:r w:rsidR="00B334C1" w:rsidRPr="00B334C1">
        <w:rPr>
          <w:rFonts w:ascii="Tahoma" w:hAnsi="Tahoma" w:cs="Tahoma"/>
          <w:sz w:val="20"/>
        </w:rPr>
        <w:t>de 2018.</w:t>
      </w:r>
    </w:p>
    <w:p w:rsidR="00B334C1" w:rsidRPr="00B334C1" w:rsidRDefault="00B334C1" w:rsidP="00B334C1">
      <w:pPr>
        <w:tabs>
          <w:tab w:val="left" w:pos="2730"/>
        </w:tabs>
        <w:jc w:val="both"/>
        <w:rPr>
          <w:rFonts w:ascii="Tahoma" w:hAnsi="Tahoma" w:cs="Tahoma"/>
          <w:sz w:val="20"/>
        </w:rPr>
      </w:pPr>
    </w:p>
    <w:p w:rsidR="00B334C1" w:rsidRPr="00B334C1" w:rsidRDefault="00B334C1" w:rsidP="00B334C1">
      <w:pPr>
        <w:tabs>
          <w:tab w:val="left" w:pos="2730"/>
        </w:tabs>
        <w:jc w:val="both"/>
        <w:rPr>
          <w:rFonts w:ascii="Tahoma" w:hAnsi="Tahoma" w:cs="Tahoma"/>
          <w:sz w:val="20"/>
        </w:rPr>
      </w:pPr>
    </w:p>
    <w:p w:rsidR="00B334C1" w:rsidRPr="00B334C1" w:rsidRDefault="00B334C1" w:rsidP="00B334C1">
      <w:pPr>
        <w:rPr>
          <w:rFonts w:ascii="Tahoma" w:hAnsi="Tahoma" w:cs="Tahoma"/>
          <w:sz w:val="20"/>
        </w:rPr>
      </w:pPr>
    </w:p>
    <w:p w:rsidR="00B334C1" w:rsidRPr="00B334C1" w:rsidRDefault="00B334C1" w:rsidP="00B334C1">
      <w:pPr>
        <w:pStyle w:val="Cabealho"/>
        <w:jc w:val="both"/>
        <w:rPr>
          <w:rFonts w:ascii="Tahoma" w:hAnsi="Tahoma" w:cs="Tahoma"/>
          <w:bCs/>
          <w:iCs/>
          <w:sz w:val="20"/>
        </w:rPr>
      </w:pPr>
    </w:p>
    <w:p w:rsidR="00B334C1" w:rsidRPr="00B334C1" w:rsidRDefault="00B334C1" w:rsidP="00B334C1">
      <w:pPr>
        <w:pStyle w:val="Cabealho"/>
        <w:jc w:val="center"/>
        <w:rPr>
          <w:rFonts w:ascii="Tahoma" w:hAnsi="Tahoma" w:cs="Tahoma"/>
          <w:b/>
          <w:bCs/>
          <w:iCs/>
          <w:sz w:val="20"/>
        </w:rPr>
      </w:pPr>
      <w:r w:rsidRPr="00B334C1">
        <w:rPr>
          <w:rFonts w:ascii="Tahoma" w:hAnsi="Tahoma" w:cs="Tahoma"/>
          <w:b/>
          <w:bCs/>
          <w:iCs/>
          <w:sz w:val="20"/>
        </w:rPr>
        <w:t>REINALDO KRACHINSKI</w:t>
      </w:r>
    </w:p>
    <w:p w:rsidR="00B334C1" w:rsidRPr="00B334C1" w:rsidRDefault="00B334C1" w:rsidP="00B334C1">
      <w:pPr>
        <w:pStyle w:val="Cabealho"/>
        <w:jc w:val="center"/>
        <w:rPr>
          <w:rFonts w:ascii="Tahoma" w:hAnsi="Tahoma" w:cs="Tahoma"/>
          <w:sz w:val="20"/>
        </w:rPr>
      </w:pPr>
      <w:r w:rsidRPr="00B334C1">
        <w:rPr>
          <w:rFonts w:ascii="Tahoma" w:hAnsi="Tahoma" w:cs="Tahoma"/>
          <w:sz w:val="20"/>
        </w:rPr>
        <w:t>Prefeito Municipal</w:t>
      </w:r>
    </w:p>
    <w:p w:rsidR="009E10C7" w:rsidRPr="00B334C1" w:rsidRDefault="009E10C7" w:rsidP="00B334C1">
      <w:pPr>
        <w:tabs>
          <w:tab w:val="left" w:pos="4050"/>
        </w:tabs>
        <w:rPr>
          <w:rFonts w:ascii="Tahoma" w:hAnsi="Tahoma" w:cs="Tahoma"/>
          <w:sz w:val="20"/>
        </w:rPr>
      </w:pPr>
    </w:p>
    <w:sectPr w:rsidR="009E10C7" w:rsidRPr="00B334C1" w:rsidSect="00EC455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701" w:header="142" w:footer="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27" w:rsidRDefault="00DB1827" w:rsidP="00A73C7D">
      <w:r>
        <w:separator/>
      </w:r>
    </w:p>
  </w:endnote>
  <w:endnote w:type="continuationSeparator" w:id="1">
    <w:p w:rsidR="00DB1827" w:rsidRDefault="00DB1827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27" w:rsidRPr="00942845" w:rsidRDefault="00DB1827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DB1827" w:rsidRPr="009F1970" w:rsidRDefault="00DB1827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DB1827" w:rsidRDefault="00DB1827" w:rsidP="00DB1827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27" w:rsidRPr="00942845" w:rsidRDefault="00DB1827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DB1827" w:rsidRPr="009F1970" w:rsidRDefault="00DB1827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DB1827" w:rsidRPr="009F1970" w:rsidRDefault="00DB1827" w:rsidP="00A73C7D">
    <w:pPr>
      <w:pStyle w:val="Rodap"/>
      <w:rPr>
        <w:sz w:val="20"/>
      </w:rPr>
    </w:pPr>
  </w:p>
  <w:p w:rsidR="00DB1827" w:rsidRPr="003B4545" w:rsidRDefault="00DB1827" w:rsidP="00A73C7D">
    <w:pPr>
      <w:pStyle w:val="Rodap"/>
    </w:pPr>
  </w:p>
  <w:p w:rsidR="00DB1827" w:rsidRPr="00A73C7D" w:rsidRDefault="00DB1827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27" w:rsidRDefault="00DB1827" w:rsidP="00A73C7D">
      <w:r>
        <w:separator/>
      </w:r>
    </w:p>
  </w:footnote>
  <w:footnote w:type="continuationSeparator" w:id="1">
    <w:p w:rsidR="00DB1827" w:rsidRDefault="00DB1827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827" w:rsidRDefault="00287D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182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82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1827" w:rsidRDefault="00DB182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DB1827" w:rsidTr="005154A2">
      <w:tc>
        <w:tcPr>
          <w:tcW w:w="1242" w:type="dxa"/>
        </w:tcPr>
        <w:p w:rsidR="00DB1827" w:rsidRPr="005154A2" w:rsidRDefault="00DB1827" w:rsidP="00DB1827">
          <w:pPr>
            <w:pStyle w:val="Cabealho"/>
            <w:rPr>
              <w:sz w:val="2"/>
              <w:szCs w:val="2"/>
            </w:rPr>
          </w:pPr>
        </w:p>
      </w:tc>
      <w:tc>
        <w:tcPr>
          <w:tcW w:w="7970" w:type="dxa"/>
        </w:tcPr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Pr="005F1A3A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>
            <w:rPr>
              <w:rFonts w:ascii="Century Gothic" w:hAnsi="Century Gothic"/>
              <w:b/>
              <w:bCs/>
              <w:noProof/>
              <w:spacing w:val="32"/>
              <w:sz w:val="36"/>
              <w:szCs w:val="36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-739140</wp:posOffset>
                </wp:positionV>
                <wp:extent cx="567055" cy="714375"/>
                <wp:effectExtent l="19050" t="0" r="4445" b="0"/>
                <wp:wrapTight wrapText="bothSides">
                  <wp:wrapPolygon edited="0">
                    <wp:start x="-726" y="0"/>
                    <wp:lineTo x="-726" y="21312"/>
                    <wp:lineTo x="21769" y="21312"/>
                    <wp:lineTo x="21769" y="0"/>
                    <wp:lineTo x="-726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DB1827" w:rsidRDefault="00DB1827" w:rsidP="00B334C1">
          <w:pPr>
            <w:pStyle w:val="Cabealho"/>
            <w:jc w:val="center"/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</w:tc>
    </w:tr>
  </w:tbl>
  <w:p w:rsidR="00DB1827" w:rsidRDefault="00DB1827" w:rsidP="00B334C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DB1827" w:rsidTr="005154A2">
      <w:tc>
        <w:tcPr>
          <w:tcW w:w="1242" w:type="dxa"/>
        </w:tcPr>
        <w:p w:rsidR="00DB1827" w:rsidRPr="005154A2" w:rsidRDefault="00DB1827" w:rsidP="00DB1827">
          <w:pPr>
            <w:pStyle w:val="Cabealho"/>
            <w:rPr>
              <w:sz w:val="2"/>
              <w:szCs w:val="2"/>
            </w:rPr>
          </w:pPr>
        </w:p>
      </w:tc>
      <w:tc>
        <w:tcPr>
          <w:tcW w:w="7970" w:type="dxa"/>
        </w:tcPr>
        <w:p w:rsidR="00DB1827" w:rsidRPr="005154A2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</w:p>
        <w:p w:rsidR="00DB1827" w:rsidRPr="005F1A3A" w:rsidRDefault="00DB1827" w:rsidP="00DB1827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>
            <w:rPr>
              <w:rFonts w:ascii="Century Gothic" w:hAnsi="Century Gothic"/>
              <w:b/>
              <w:bCs/>
              <w:noProof/>
              <w:spacing w:val="32"/>
              <w:sz w:val="36"/>
              <w:szCs w:val="36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-808355</wp:posOffset>
                </wp:positionV>
                <wp:extent cx="695325" cy="781050"/>
                <wp:effectExtent l="19050" t="0" r="9525" b="0"/>
                <wp:wrapTight wrapText="bothSides">
                  <wp:wrapPolygon edited="0">
                    <wp:start x="-592" y="0"/>
                    <wp:lineTo x="-592" y="21073"/>
                    <wp:lineTo x="21896" y="21073"/>
                    <wp:lineTo x="21896" y="0"/>
                    <wp:lineTo x="-592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DB1827" w:rsidRDefault="00DB1827" w:rsidP="00EC4552">
          <w:pPr>
            <w:pStyle w:val="Cabealho"/>
            <w:jc w:val="center"/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</w:tc>
    </w:tr>
  </w:tbl>
  <w:p w:rsidR="00DB1827" w:rsidRDefault="00DB1827" w:rsidP="00EC4552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5308F"/>
    <w:rsid w:val="00054184"/>
    <w:rsid w:val="00092A7D"/>
    <w:rsid w:val="000B1FF6"/>
    <w:rsid w:val="000C16C6"/>
    <w:rsid w:val="000F3E2E"/>
    <w:rsid w:val="000F4748"/>
    <w:rsid w:val="00107F17"/>
    <w:rsid w:val="001607E1"/>
    <w:rsid w:val="00287D40"/>
    <w:rsid w:val="002A7174"/>
    <w:rsid w:val="002D1126"/>
    <w:rsid w:val="00311699"/>
    <w:rsid w:val="00327F23"/>
    <w:rsid w:val="0037442F"/>
    <w:rsid w:val="003C62B4"/>
    <w:rsid w:val="003D0BC3"/>
    <w:rsid w:val="00402680"/>
    <w:rsid w:val="00431CC4"/>
    <w:rsid w:val="004A6AA5"/>
    <w:rsid w:val="004B38B5"/>
    <w:rsid w:val="005057B5"/>
    <w:rsid w:val="005154A2"/>
    <w:rsid w:val="0057272B"/>
    <w:rsid w:val="005C0448"/>
    <w:rsid w:val="005D0135"/>
    <w:rsid w:val="0069563E"/>
    <w:rsid w:val="006959CE"/>
    <w:rsid w:val="006B33DD"/>
    <w:rsid w:val="006F5522"/>
    <w:rsid w:val="006F73E8"/>
    <w:rsid w:val="0071122D"/>
    <w:rsid w:val="007612E8"/>
    <w:rsid w:val="00776B60"/>
    <w:rsid w:val="007C1581"/>
    <w:rsid w:val="008114E4"/>
    <w:rsid w:val="008127CF"/>
    <w:rsid w:val="00813713"/>
    <w:rsid w:val="00820A19"/>
    <w:rsid w:val="00822D8C"/>
    <w:rsid w:val="00897F95"/>
    <w:rsid w:val="008B7845"/>
    <w:rsid w:val="008E1947"/>
    <w:rsid w:val="00942845"/>
    <w:rsid w:val="009E10C7"/>
    <w:rsid w:val="00A371AC"/>
    <w:rsid w:val="00A73C7D"/>
    <w:rsid w:val="00AE0E7C"/>
    <w:rsid w:val="00B07039"/>
    <w:rsid w:val="00B170C4"/>
    <w:rsid w:val="00B27451"/>
    <w:rsid w:val="00B334C1"/>
    <w:rsid w:val="00B61296"/>
    <w:rsid w:val="00B737C1"/>
    <w:rsid w:val="00B845D1"/>
    <w:rsid w:val="00BB610E"/>
    <w:rsid w:val="00BF34BA"/>
    <w:rsid w:val="00C40D59"/>
    <w:rsid w:val="00C67801"/>
    <w:rsid w:val="00CE7AE5"/>
    <w:rsid w:val="00D10C24"/>
    <w:rsid w:val="00D44638"/>
    <w:rsid w:val="00D542C6"/>
    <w:rsid w:val="00D676D2"/>
    <w:rsid w:val="00D67D0C"/>
    <w:rsid w:val="00DB1827"/>
    <w:rsid w:val="00E078C1"/>
    <w:rsid w:val="00E11B82"/>
    <w:rsid w:val="00E2139A"/>
    <w:rsid w:val="00E34A0B"/>
    <w:rsid w:val="00E35CBE"/>
    <w:rsid w:val="00E53A4D"/>
    <w:rsid w:val="00E91079"/>
    <w:rsid w:val="00EC4552"/>
    <w:rsid w:val="00EC697E"/>
    <w:rsid w:val="00FC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2013-09-18T12:42:00Z</cp:lastPrinted>
  <dcterms:created xsi:type="dcterms:W3CDTF">2018-02-27T17:03:00Z</dcterms:created>
  <dcterms:modified xsi:type="dcterms:W3CDTF">2018-03-14T16:52:00Z</dcterms:modified>
</cp:coreProperties>
</file>