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568" w:rsidRDefault="00E87568" w:rsidP="0080735A">
      <w:pPr>
        <w:jc w:val="center"/>
        <w:rPr>
          <w:b/>
          <w:sz w:val="22"/>
          <w:szCs w:val="22"/>
        </w:rPr>
      </w:pPr>
    </w:p>
    <w:p w:rsidR="00E87568" w:rsidRDefault="00E87568" w:rsidP="0080735A">
      <w:pPr>
        <w:jc w:val="center"/>
        <w:rPr>
          <w:b/>
          <w:sz w:val="22"/>
          <w:szCs w:val="22"/>
        </w:rPr>
      </w:pPr>
    </w:p>
    <w:p w:rsidR="0080735A" w:rsidRDefault="0080735A" w:rsidP="0080735A">
      <w:pPr>
        <w:jc w:val="center"/>
        <w:rPr>
          <w:b/>
          <w:sz w:val="22"/>
          <w:szCs w:val="22"/>
        </w:rPr>
      </w:pPr>
      <w:r>
        <w:rPr>
          <w:b/>
          <w:sz w:val="22"/>
          <w:szCs w:val="22"/>
        </w:rPr>
        <w:t>LEI Nº 462</w:t>
      </w:r>
      <w:r w:rsidRPr="00F10DCA">
        <w:rPr>
          <w:b/>
          <w:sz w:val="22"/>
          <w:szCs w:val="22"/>
        </w:rPr>
        <w:t>/2013</w:t>
      </w:r>
    </w:p>
    <w:p w:rsidR="0080735A" w:rsidRPr="00F10DCA" w:rsidRDefault="0080735A" w:rsidP="0080735A">
      <w:pPr>
        <w:jc w:val="center"/>
        <w:rPr>
          <w:b/>
          <w:sz w:val="22"/>
          <w:szCs w:val="22"/>
        </w:rPr>
      </w:pPr>
    </w:p>
    <w:p w:rsidR="0080735A" w:rsidRDefault="0080735A" w:rsidP="0080735A">
      <w:pPr>
        <w:spacing w:before="480" w:after="480" w:line="264" w:lineRule="auto"/>
        <w:ind w:left="4253"/>
        <w:jc w:val="both"/>
        <w:rPr>
          <w:b/>
          <w:i/>
          <w:sz w:val="22"/>
          <w:szCs w:val="22"/>
        </w:rPr>
      </w:pPr>
      <w:r w:rsidRPr="00F10DCA">
        <w:rPr>
          <w:b/>
          <w:sz w:val="22"/>
          <w:szCs w:val="22"/>
        </w:rPr>
        <w:t>SÚMULA</w:t>
      </w:r>
      <w:r w:rsidRPr="00F10DCA">
        <w:rPr>
          <w:sz w:val="22"/>
          <w:szCs w:val="22"/>
        </w:rPr>
        <w:t xml:space="preserve">: </w:t>
      </w:r>
      <w:r>
        <w:rPr>
          <w:sz w:val="22"/>
          <w:szCs w:val="22"/>
        </w:rPr>
        <w:t>“</w:t>
      </w:r>
      <w:r w:rsidRPr="00F318D1">
        <w:rPr>
          <w:b/>
          <w:i/>
          <w:sz w:val="22"/>
          <w:szCs w:val="22"/>
        </w:rPr>
        <w:t>Dispõe sobre a criação do Programa de Desenvolvimento Econômico</w:t>
      </w:r>
      <w:r w:rsidR="00D971D0">
        <w:rPr>
          <w:b/>
          <w:i/>
          <w:sz w:val="22"/>
          <w:szCs w:val="22"/>
        </w:rPr>
        <w:t xml:space="preserve"> </w:t>
      </w:r>
      <w:r w:rsidRPr="00F318D1">
        <w:rPr>
          <w:b/>
          <w:i/>
          <w:sz w:val="22"/>
          <w:szCs w:val="22"/>
        </w:rPr>
        <w:t>de Quarto Centenário</w:t>
      </w:r>
      <w:r>
        <w:rPr>
          <w:b/>
          <w:i/>
          <w:sz w:val="22"/>
          <w:szCs w:val="22"/>
        </w:rPr>
        <w:t xml:space="preserve"> - </w:t>
      </w:r>
      <w:r w:rsidRPr="00F37EAD">
        <w:rPr>
          <w:b/>
          <w:sz w:val="22"/>
          <w:szCs w:val="22"/>
        </w:rPr>
        <w:t>PRODEQC</w:t>
      </w:r>
      <w:r>
        <w:rPr>
          <w:b/>
          <w:i/>
          <w:sz w:val="22"/>
          <w:szCs w:val="22"/>
        </w:rPr>
        <w:t>”</w:t>
      </w:r>
      <w:r w:rsidRPr="00F318D1">
        <w:rPr>
          <w:b/>
          <w:i/>
          <w:sz w:val="22"/>
          <w:szCs w:val="22"/>
        </w:rPr>
        <w:t>.</w:t>
      </w:r>
    </w:p>
    <w:p w:rsidR="0080735A" w:rsidRPr="00F10DCA" w:rsidRDefault="0080735A" w:rsidP="0080735A">
      <w:pPr>
        <w:spacing w:before="240" w:after="480" w:line="264" w:lineRule="auto"/>
        <w:ind w:left="567" w:firstLine="2127"/>
        <w:jc w:val="both"/>
        <w:rPr>
          <w:sz w:val="22"/>
          <w:szCs w:val="22"/>
        </w:rPr>
      </w:pPr>
      <w:r w:rsidRPr="00F10DCA">
        <w:rPr>
          <w:sz w:val="22"/>
          <w:szCs w:val="22"/>
        </w:rPr>
        <w:t xml:space="preserve">A </w:t>
      </w:r>
      <w:r w:rsidRPr="00F10DCA">
        <w:rPr>
          <w:b/>
          <w:sz w:val="22"/>
          <w:szCs w:val="22"/>
        </w:rPr>
        <w:t>CÂMARA MUNICIPAL DE QUARTO CENTENÁRIO</w:t>
      </w:r>
      <w:r w:rsidRPr="00F10DCA">
        <w:rPr>
          <w:sz w:val="22"/>
          <w:szCs w:val="22"/>
        </w:rPr>
        <w:t>, Estado do Paraná, aprov</w:t>
      </w:r>
      <w:r>
        <w:rPr>
          <w:sz w:val="22"/>
          <w:szCs w:val="22"/>
        </w:rPr>
        <w:t>ou</w:t>
      </w:r>
      <w:r w:rsidRPr="00F10DCA">
        <w:rPr>
          <w:sz w:val="22"/>
          <w:szCs w:val="22"/>
        </w:rPr>
        <w:t xml:space="preserve"> e eu, </w:t>
      </w:r>
      <w:r w:rsidRPr="00F10DCA">
        <w:rPr>
          <w:b/>
          <w:sz w:val="22"/>
          <w:szCs w:val="22"/>
        </w:rPr>
        <w:t>REINALDO KRACHINSKI</w:t>
      </w:r>
      <w:r w:rsidRPr="00F10DCA">
        <w:rPr>
          <w:sz w:val="22"/>
          <w:szCs w:val="22"/>
        </w:rPr>
        <w:t>, Prefeito Municipal, no uso das atribuições legais, sancion</w:t>
      </w:r>
      <w:r>
        <w:rPr>
          <w:sz w:val="22"/>
          <w:szCs w:val="22"/>
        </w:rPr>
        <w:t xml:space="preserve">o </w:t>
      </w:r>
      <w:r w:rsidRPr="00F10DCA">
        <w:rPr>
          <w:sz w:val="22"/>
          <w:szCs w:val="22"/>
        </w:rPr>
        <w:t>a seguinte Lei:</w:t>
      </w:r>
    </w:p>
    <w:p w:rsidR="0080735A" w:rsidRPr="00F10DCA" w:rsidRDefault="0080735A" w:rsidP="00875169">
      <w:pPr>
        <w:tabs>
          <w:tab w:val="left" w:pos="2694"/>
        </w:tabs>
        <w:spacing w:after="240" w:line="360" w:lineRule="auto"/>
        <w:ind w:left="567" w:firstLine="2126"/>
        <w:jc w:val="both"/>
        <w:rPr>
          <w:sz w:val="22"/>
          <w:szCs w:val="22"/>
        </w:rPr>
      </w:pPr>
      <w:r w:rsidRPr="00F10DCA">
        <w:rPr>
          <w:b/>
          <w:sz w:val="22"/>
          <w:szCs w:val="22"/>
        </w:rPr>
        <w:t xml:space="preserve">Art. 1º. </w:t>
      </w:r>
      <w:r w:rsidRPr="00F10DCA">
        <w:rPr>
          <w:sz w:val="22"/>
          <w:szCs w:val="22"/>
        </w:rPr>
        <w:t>Fica autorizado o chefe do Poder Executivo a criar a Lei do Programa de Desenvolvimento Econômico de Quarto Centenário – PRODEQC, cujo objetivo é fomentar o desenvolvimento econômico do Município, meio de incentivos e ações voltadas ao setor da indústria e serviços, priorizando a geração de empregos e renda, em consonância com o Plano Diretor do Município e o Conselho de Desenvolvimento Econômico Municipal:</w:t>
      </w:r>
    </w:p>
    <w:p w:rsidR="0080735A" w:rsidRPr="00F10DCA" w:rsidRDefault="0080735A" w:rsidP="0080735A">
      <w:pPr>
        <w:tabs>
          <w:tab w:val="left" w:pos="1418"/>
          <w:tab w:val="left" w:pos="1701"/>
          <w:tab w:val="left" w:pos="1843"/>
          <w:tab w:val="left" w:pos="1985"/>
          <w:tab w:val="left" w:pos="2268"/>
          <w:tab w:val="left" w:pos="2552"/>
          <w:tab w:val="left" w:pos="2694"/>
          <w:tab w:val="center" w:pos="4252"/>
        </w:tabs>
        <w:spacing w:line="360" w:lineRule="auto"/>
        <w:ind w:left="567" w:firstLine="2127"/>
        <w:jc w:val="both"/>
        <w:rPr>
          <w:sz w:val="22"/>
          <w:szCs w:val="22"/>
        </w:rPr>
      </w:pPr>
      <w:r w:rsidRPr="00F10DCA">
        <w:rPr>
          <w:b/>
          <w:sz w:val="22"/>
          <w:szCs w:val="22"/>
        </w:rPr>
        <w:t xml:space="preserve">Parágrafo </w:t>
      </w:r>
      <w:r w:rsidRPr="00F10DCA">
        <w:rPr>
          <w:b/>
          <w:bCs/>
          <w:sz w:val="22"/>
          <w:szCs w:val="22"/>
        </w:rPr>
        <w:t>1.º</w:t>
      </w:r>
      <w:r w:rsidRPr="00F10DCA">
        <w:rPr>
          <w:sz w:val="22"/>
          <w:szCs w:val="22"/>
        </w:rPr>
        <w:t xml:space="preserve"> O Programa concederá incentivos tanto para a instalação de novos empreendimentos quanto para a expansão dos já existentes, localizados no município.</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 xml:space="preserve">Art. 2º. </w:t>
      </w:r>
      <w:r w:rsidRPr="00F10DCA">
        <w:rPr>
          <w:sz w:val="22"/>
          <w:szCs w:val="22"/>
        </w:rPr>
        <w:t xml:space="preserve">São objetos </w:t>
      </w:r>
      <w:proofErr w:type="gramStart"/>
      <w:r w:rsidRPr="00F10DCA">
        <w:rPr>
          <w:sz w:val="22"/>
          <w:szCs w:val="22"/>
        </w:rPr>
        <w:t xml:space="preserve">desta Lei </w:t>
      </w:r>
      <w:r>
        <w:rPr>
          <w:sz w:val="22"/>
          <w:szCs w:val="22"/>
        </w:rPr>
        <w:t>incentivar</w:t>
      </w:r>
      <w:proofErr w:type="gramEnd"/>
      <w:r>
        <w:rPr>
          <w:sz w:val="22"/>
          <w:szCs w:val="22"/>
        </w:rPr>
        <w:t xml:space="preserve"> a instalação e ampliação de </w:t>
      </w:r>
      <w:r w:rsidRPr="00F10DCA">
        <w:rPr>
          <w:sz w:val="22"/>
          <w:szCs w:val="22"/>
        </w:rPr>
        <w:t>empresas dos setores do Comércio, Indústria, Agroindústria e Serviços, associações Civis, Cooperativas, empreendimentos relacionados com atividades da economia informal</w:t>
      </w:r>
      <w:r>
        <w:rPr>
          <w:sz w:val="22"/>
          <w:szCs w:val="22"/>
        </w:rPr>
        <w:t>, especificamente para implantação e ampliação de industrias no setor de facção têxtil, e implantação de aviários</w:t>
      </w:r>
      <w:r w:rsidRPr="00F10DCA">
        <w:rPr>
          <w:sz w:val="22"/>
          <w:szCs w:val="22"/>
        </w:rPr>
        <w:t>.</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 xml:space="preserve">Art. 3º. </w:t>
      </w:r>
      <w:r w:rsidRPr="00F10DCA">
        <w:rPr>
          <w:sz w:val="22"/>
          <w:szCs w:val="22"/>
        </w:rPr>
        <w:t>Para apoiar e auxiliar na concessão dos incentivos a serem concedidos pelo PRODEQC será constituído o Conselho de Desenvolvimento Econômico Municipal – CODEM.</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 xml:space="preserve">Parágrafo </w:t>
      </w:r>
      <w:r w:rsidRPr="00F10DCA">
        <w:rPr>
          <w:b/>
          <w:bCs/>
          <w:sz w:val="22"/>
          <w:szCs w:val="22"/>
        </w:rPr>
        <w:t xml:space="preserve">1.º </w:t>
      </w:r>
      <w:r w:rsidRPr="00F10DCA">
        <w:rPr>
          <w:bCs/>
          <w:sz w:val="22"/>
          <w:szCs w:val="22"/>
        </w:rPr>
        <w:t>Todos os Benefícios de que trata esta Lei aplicar-se-ão, depois de satisfeitas as exigências legais e com parecer favorável do Conselho de Desenvolvimento Econômico Municipal – CODEM.</w:t>
      </w:r>
    </w:p>
    <w:p w:rsidR="0080735A" w:rsidRDefault="0080735A" w:rsidP="0080735A">
      <w:pPr>
        <w:pStyle w:val="Default"/>
        <w:tabs>
          <w:tab w:val="left" w:pos="2694"/>
        </w:tabs>
        <w:spacing w:line="360" w:lineRule="auto"/>
        <w:ind w:left="567" w:firstLine="2127"/>
        <w:jc w:val="both"/>
        <w:rPr>
          <w:bCs/>
          <w:sz w:val="22"/>
          <w:szCs w:val="22"/>
        </w:rPr>
      </w:pPr>
      <w:r w:rsidRPr="00F10DCA">
        <w:rPr>
          <w:b/>
          <w:sz w:val="22"/>
          <w:szCs w:val="22"/>
        </w:rPr>
        <w:t xml:space="preserve">Parágrafo </w:t>
      </w:r>
      <w:r w:rsidRPr="00F10DCA">
        <w:rPr>
          <w:b/>
          <w:bCs/>
          <w:sz w:val="22"/>
          <w:szCs w:val="22"/>
        </w:rPr>
        <w:t xml:space="preserve">2.º </w:t>
      </w:r>
      <w:r w:rsidRPr="00F10DCA">
        <w:rPr>
          <w:bCs/>
          <w:sz w:val="22"/>
          <w:szCs w:val="22"/>
        </w:rPr>
        <w:t>O CODEM deverá determinar a sustentação de benefício de que trata esta Lei, e indeferir sua solicitação, para empresa que estiver sendo objeto de ação fiscal ou judicial.</w:t>
      </w:r>
    </w:p>
    <w:p w:rsidR="0080735A" w:rsidRPr="00F10DCA" w:rsidRDefault="0080735A" w:rsidP="0080735A">
      <w:pPr>
        <w:pStyle w:val="Default"/>
        <w:tabs>
          <w:tab w:val="left" w:pos="2694"/>
        </w:tabs>
        <w:spacing w:line="360" w:lineRule="auto"/>
        <w:ind w:left="567" w:firstLine="2127"/>
        <w:jc w:val="both"/>
        <w:rPr>
          <w:b/>
          <w:sz w:val="22"/>
          <w:szCs w:val="22"/>
        </w:rPr>
      </w:pPr>
      <w:r>
        <w:rPr>
          <w:b/>
          <w:sz w:val="22"/>
          <w:szCs w:val="22"/>
        </w:rPr>
        <w:lastRenderedPageBreak/>
        <w:t>Seção I</w:t>
      </w:r>
    </w:p>
    <w:p w:rsidR="0080735A" w:rsidRPr="00F10DCA" w:rsidRDefault="0080735A" w:rsidP="0080735A">
      <w:pPr>
        <w:pStyle w:val="Default"/>
        <w:tabs>
          <w:tab w:val="left" w:pos="2694"/>
        </w:tabs>
        <w:spacing w:line="360" w:lineRule="auto"/>
        <w:ind w:left="567" w:firstLine="2127"/>
        <w:jc w:val="both"/>
        <w:rPr>
          <w:b/>
          <w:sz w:val="22"/>
          <w:szCs w:val="22"/>
        </w:rPr>
      </w:pPr>
      <w:r w:rsidRPr="00F10DCA">
        <w:rPr>
          <w:b/>
          <w:sz w:val="22"/>
          <w:szCs w:val="22"/>
        </w:rPr>
        <w:t>DOS INCENTIVOS</w:t>
      </w:r>
    </w:p>
    <w:p w:rsidR="0080735A" w:rsidRPr="00F10DCA" w:rsidRDefault="0080735A" w:rsidP="0080735A">
      <w:pPr>
        <w:pStyle w:val="Default"/>
        <w:tabs>
          <w:tab w:val="left" w:pos="2694"/>
        </w:tabs>
        <w:spacing w:line="360" w:lineRule="auto"/>
        <w:ind w:left="567" w:firstLine="2127"/>
        <w:jc w:val="both"/>
        <w:rPr>
          <w:sz w:val="22"/>
          <w:szCs w:val="22"/>
        </w:rPr>
      </w:pP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 xml:space="preserve">I </w:t>
      </w:r>
      <w:r w:rsidRPr="00F10DCA">
        <w:rPr>
          <w:sz w:val="22"/>
          <w:szCs w:val="22"/>
        </w:rPr>
        <w:t>– Isenção dos seguintes tributos:</w:t>
      </w:r>
    </w:p>
    <w:p w:rsidR="0080735A" w:rsidRPr="00F10DCA" w:rsidRDefault="0080735A" w:rsidP="0080735A">
      <w:pPr>
        <w:pStyle w:val="Default"/>
        <w:numPr>
          <w:ilvl w:val="0"/>
          <w:numId w:val="1"/>
        </w:numPr>
        <w:tabs>
          <w:tab w:val="left" w:pos="2694"/>
        </w:tabs>
        <w:spacing w:line="360" w:lineRule="auto"/>
        <w:ind w:left="567" w:firstLine="2127"/>
        <w:jc w:val="both"/>
        <w:rPr>
          <w:sz w:val="22"/>
          <w:szCs w:val="22"/>
        </w:rPr>
      </w:pPr>
      <w:r w:rsidRPr="00F10DCA">
        <w:rPr>
          <w:sz w:val="22"/>
          <w:szCs w:val="22"/>
        </w:rPr>
        <w:t>Taxa de Licença para localização e Funcionamento</w:t>
      </w:r>
    </w:p>
    <w:p w:rsidR="0080735A" w:rsidRPr="00F10DCA" w:rsidRDefault="0080735A" w:rsidP="0080735A">
      <w:pPr>
        <w:pStyle w:val="Default"/>
        <w:numPr>
          <w:ilvl w:val="0"/>
          <w:numId w:val="1"/>
        </w:numPr>
        <w:tabs>
          <w:tab w:val="left" w:pos="2694"/>
        </w:tabs>
        <w:spacing w:line="360" w:lineRule="auto"/>
        <w:ind w:left="567" w:firstLine="2127"/>
        <w:jc w:val="both"/>
        <w:rPr>
          <w:sz w:val="22"/>
          <w:szCs w:val="22"/>
        </w:rPr>
      </w:pPr>
      <w:r w:rsidRPr="00F10DCA">
        <w:rPr>
          <w:sz w:val="22"/>
          <w:szCs w:val="22"/>
        </w:rPr>
        <w:t>Imposto sobre Serviços de Qualquer Natureza – ISSQN;</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 xml:space="preserve">II – </w:t>
      </w:r>
      <w:r w:rsidRPr="00F10DCA">
        <w:rPr>
          <w:sz w:val="22"/>
          <w:szCs w:val="22"/>
        </w:rPr>
        <w:t>Serviços:</w:t>
      </w:r>
    </w:p>
    <w:p w:rsidR="0080735A" w:rsidRPr="00F10DCA" w:rsidRDefault="0080735A" w:rsidP="0080735A">
      <w:pPr>
        <w:pStyle w:val="Default"/>
        <w:numPr>
          <w:ilvl w:val="0"/>
          <w:numId w:val="2"/>
        </w:numPr>
        <w:tabs>
          <w:tab w:val="left" w:pos="2694"/>
        </w:tabs>
        <w:spacing w:line="360" w:lineRule="auto"/>
        <w:ind w:left="567" w:firstLine="2127"/>
        <w:jc w:val="both"/>
        <w:rPr>
          <w:sz w:val="22"/>
          <w:szCs w:val="22"/>
        </w:rPr>
      </w:pPr>
      <w:r w:rsidRPr="00F10DCA">
        <w:rPr>
          <w:sz w:val="22"/>
          <w:szCs w:val="22"/>
        </w:rPr>
        <w:t>Execução de obras e serviços de preparo de terrenos localizados nos distritos industriais, ou de qualquer outra área de propriedade do Município, onde for possível instalar indústria</w:t>
      </w:r>
      <w:r>
        <w:rPr>
          <w:sz w:val="22"/>
          <w:szCs w:val="22"/>
        </w:rPr>
        <w:t xml:space="preserve"> e na zona rural onde forem instalados os aviários</w:t>
      </w:r>
      <w:r w:rsidRPr="00F10DCA">
        <w:rPr>
          <w:sz w:val="22"/>
          <w:szCs w:val="22"/>
        </w:rPr>
        <w:t>:</w:t>
      </w:r>
    </w:p>
    <w:p w:rsidR="0080735A" w:rsidRPr="00F10DCA" w:rsidRDefault="0080735A" w:rsidP="0080735A">
      <w:pPr>
        <w:pStyle w:val="Default"/>
        <w:numPr>
          <w:ilvl w:val="0"/>
          <w:numId w:val="2"/>
        </w:numPr>
        <w:tabs>
          <w:tab w:val="left" w:pos="2694"/>
        </w:tabs>
        <w:spacing w:line="360" w:lineRule="auto"/>
        <w:ind w:left="567" w:firstLine="2127"/>
        <w:jc w:val="both"/>
        <w:rPr>
          <w:sz w:val="22"/>
          <w:szCs w:val="22"/>
        </w:rPr>
      </w:pPr>
      <w:r w:rsidRPr="00F10DCA">
        <w:rPr>
          <w:sz w:val="22"/>
          <w:szCs w:val="22"/>
        </w:rPr>
        <w:t>Execução de obras e serviços destinados a dotar as áreas de infra-estrutura adequada, especialmente no que se refere ao sistema viário, rede de distribuição de energia elétrica e sistema de escoamento de águas pluviais</w:t>
      </w:r>
      <w:r>
        <w:rPr>
          <w:sz w:val="22"/>
          <w:szCs w:val="22"/>
        </w:rPr>
        <w:t xml:space="preserve">, e </w:t>
      </w:r>
      <w:proofErr w:type="spellStart"/>
      <w:r>
        <w:rPr>
          <w:sz w:val="22"/>
          <w:szCs w:val="22"/>
        </w:rPr>
        <w:t>cascalhamento</w:t>
      </w:r>
      <w:proofErr w:type="spellEnd"/>
      <w:r>
        <w:rPr>
          <w:sz w:val="22"/>
          <w:szCs w:val="22"/>
        </w:rPr>
        <w:t xml:space="preserve"> para escoação de produção dos aviários na zona rural, mesmo que em propriedade particular</w:t>
      </w:r>
      <w:r w:rsidRPr="00F10DCA">
        <w:rPr>
          <w:sz w:val="22"/>
          <w:szCs w:val="22"/>
        </w:rPr>
        <w:t>;</w:t>
      </w:r>
    </w:p>
    <w:p w:rsidR="0080735A" w:rsidRPr="00F10DCA" w:rsidRDefault="0080735A" w:rsidP="0080735A">
      <w:pPr>
        <w:pStyle w:val="Default"/>
        <w:numPr>
          <w:ilvl w:val="0"/>
          <w:numId w:val="2"/>
        </w:numPr>
        <w:tabs>
          <w:tab w:val="left" w:pos="2694"/>
        </w:tabs>
        <w:spacing w:line="360" w:lineRule="auto"/>
        <w:ind w:left="567" w:firstLine="2127"/>
        <w:jc w:val="both"/>
        <w:rPr>
          <w:sz w:val="22"/>
          <w:szCs w:val="22"/>
        </w:rPr>
      </w:pPr>
      <w:r w:rsidRPr="00F10DCA">
        <w:rPr>
          <w:sz w:val="22"/>
          <w:szCs w:val="22"/>
        </w:rPr>
        <w:t xml:space="preserve">Construção de barracões </w:t>
      </w:r>
      <w:r>
        <w:rPr>
          <w:sz w:val="22"/>
          <w:szCs w:val="22"/>
        </w:rPr>
        <w:t xml:space="preserve">e aquisição de maquinários </w:t>
      </w:r>
      <w:r w:rsidRPr="00F10DCA">
        <w:rPr>
          <w:sz w:val="22"/>
          <w:szCs w:val="22"/>
        </w:rPr>
        <w:t xml:space="preserve">destinados à concessão e permissão </w:t>
      </w:r>
      <w:r>
        <w:rPr>
          <w:sz w:val="22"/>
          <w:szCs w:val="22"/>
        </w:rPr>
        <w:t xml:space="preserve">e cessão </w:t>
      </w:r>
      <w:r w:rsidRPr="00F10DCA">
        <w:rPr>
          <w:sz w:val="22"/>
          <w:szCs w:val="22"/>
        </w:rPr>
        <w:t>de uso</w:t>
      </w:r>
      <w:r>
        <w:rPr>
          <w:sz w:val="22"/>
          <w:szCs w:val="22"/>
        </w:rPr>
        <w:t xml:space="preserve"> ás empresas de facção têxtil</w:t>
      </w:r>
      <w:r w:rsidRPr="00F10DCA">
        <w:rPr>
          <w:sz w:val="22"/>
          <w:szCs w:val="22"/>
        </w:rPr>
        <w:t>.</w:t>
      </w:r>
    </w:p>
    <w:p w:rsidR="0080735A" w:rsidRPr="00F10DCA" w:rsidRDefault="0080735A" w:rsidP="0080735A">
      <w:pPr>
        <w:pStyle w:val="Default"/>
        <w:tabs>
          <w:tab w:val="left" w:pos="2694"/>
        </w:tabs>
        <w:spacing w:line="360" w:lineRule="auto"/>
        <w:ind w:left="2694"/>
        <w:jc w:val="both"/>
        <w:rPr>
          <w:sz w:val="22"/>
          <w:szCs w:val="22"/>
        </w:rPr>
      </w:pPr>
      <w:r>
        <w:rPr>
          <w:b/>
          <w:sz w:val="22"/>
          <w:szCs w:val="22"/>
        </w:rPr>
        <w:t>III</w:t>
      </w:r>
      <w:r w:rsidRPr="00F10DCA">
        <w:rPr>
          <w:b/>
          <w:sz w:val="22"/>
          <w:szCs w:val="22"/>
        </w:rPr>
        <w:t xml:space="preserve"> –</w:t>
      </w:r>
      <w:r w:rsidRPr="00F10DCA">
        <w:rPr>
          <w:sz w:val="22"/>
          <w:szCs w:val="22"/>
        </w:rPr>
        <w:t xml:space="preserve"> Locação de barracões industriais:</w:t>
      </w:r>
    </w:p>
    <w:p w:rsidR="0080735A" w:rsidRPr="00F10DCA" w:rsidRDefault="0080735A" w:rsidP="0080735A">
      <w:pPr>
        <w:pStyle w:val="Default"/>
        <w:numPr>
          <w:ilvl w:val="0"/>
          <w:numId w:val="3"/>
        </w:numPr>
        <w:tabs>
          <w:tab w:val="left" w:pos="2694"/>
          <w:tab w:val="left" w:pos="3119"/>
        </w:tabs>
        <w:spacing w:line="360" w:lineRule="auto"/>
        <w:ind w:left="567" w:firstLine="2127"/>
        <w:jc w:val="both"/>
        <w:rPr>
          <w:sz w:val="22"/>
          <w:szCs w:val="22"/>
        </w:rPr>
      </w:pPr>
      <w:r w:rsidRPr="00F10DCA">
        <w:rPr>
          <w:sz w:val="22"/>
          <w:szCs w:val="22"/>
        </w:rPr>
        <w:t xml:space="preserve">Subsídio na locação de barracões destinados a empresas com finalidade industrial, podendo o auxílio variar de 50 a 100% do valor do aluguel e ocorrer pelo prazo máximo de </w:t>
      </w:r>
      <w:proofErr w:type="gramStart"/>
      <w:r w:rsidRPr="00F10DCA">
        <w:rPr>
          <w:sz w:val="22"/>
          <w:szCs w:val="22"/>
        </w:rPr>
        <w:t>2</w:t>
      </w:r>
      <w:proofErr w:type="gramEnd"/>
      <w:r w:rsidRPr="00F10DCA">
        <w:rPr>
          <w:sz w:val="22"/>
          <w:szCs w:val="22"/>
        </w:rPr>
        <w:t xml:space="preserve"> (dois) anos.</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Parágrafo</w:t>
      </w:r>
      <w:proofErr w:type="gramStart"/>
      <w:r>
        <w:rPr>
          <w:b/>
          <w:sz w:val="22"/>
          <w:szCs w:val="22"/>
        </w:rPr>
        <w:t xml:space="preserve">   </w:t>
      </w:r>
      <w:r w:rsidRPr="00F10DCA">
        <w:rPr>
          <w:b/>
          <w:sz w:val="22"/>
          <w:szCs w:val="22"/>
        </w:rPr>
        <w:t xml:space="preserve"> </w:t>
      </w:r>
      <w:proofErr w:type="gramEnd"/>
      <w:r w:rsidRPr="00F10DCA">
        <w:rPr>
          <w:b/>
          <w:bCs/>
          <w:sz w:val="22"/>
          <w:szCs w:val="22"/>
        </w:rPr>
        <w:t xml:space="preserve">1.º </w:t>
      </w:r>
      <w:r w:rsidRPr="00F10DCA">
        <w:rPr>
          <w:sz w:val="22"/>
          <w:szCs w:val="22"/>
        </w:rPr>
        <w:t>A vigência dos incentivos se dará a partir da data do protocolo de solicitação, não retroagirá para beneficiar o pagamento de tributos anteriores.</w:t>
      </w:r>
    </w:p>
    <w:p w:rsidR="0080735A" w:rsidRPr="00F10DCA" w:rsidRDefault="0080735A" w:rsidP="0080735A">
      <w:pPr>
        <w:pStyle w:val="Default"/>
        <w:tabs>
          <w:tab w:val="left" w:pos="2694"/>
          <w:tab w:val="left" w:pos="4111"/>
        </w:tabs>
        <w:spacing w:line="360" w:lineRule="auto"/>
        <w:ind w:left="567" w:firstLine="2127"/>
        <w:jc w:val="both"/>
        <w:rPr>
          <w:sz w:val="22"/>
          <w:szCs w:val="22"/>
        </w:rPr>
      </w:pPr>
      <w:r w:rsidRPr="00F10DCA">
        <w:rPr>
          <w:b/>
          <w:sz w:val="22"/>
          <w:szCs w:val="22"/>
        </w:rPr>
        <w:t>Parágrafo</w:t>
      </w:r>
      <w:r>
        <w:rPr>
          <w:b/>
          <w:sz w:val="22"/>
          <w:szCs w:val="22"/>
        </w:rPr>
        <w:t xml:space="preserve"> </w:t>
      </w:r>
      <w:r>
        <w:rPr>
          <w:b/>
          <w:bCs/>
          <w:sz w:val="22"/>
          <w:szCs w:val="22"/>
        </w:rPr>
        <w:t>2</w:t>
      </w:r>
      <w:r w:rsidRPr="00F10DCA">
        <w:rPr>
          <w:b/>
          <w:bCs/>
          <w:sz w:val="22"/>
          <w:szCs w:val="22"/>
        </w:rPr>
        <w:t xml:space="preserve">.º </w:t>
      </w:r>
      <w:r w:rsidRPr="00F10DCA">
        <w:rPr>
          <w:bCs/>
          <w:sz w:val="22"/>
          <w:szCs w:val="22"/>
        </w:rPr>
        <w:t>as isenções</w:t>
      </w:r>
      <w:r w:rsidRPr="00F10DCA">
        <w:rPr>
          <w:sz w:val="22"/>
          <w:szCs w:val="22"/>
        </w:rPr>
        <w:t xml:space="preserve"> previstas nesta Lei ficam condicionadas à confirmação anual, mediante requerimento do interessado, cuja solução se dará por despacho fundamentado da Secretaria Municipal</w:t>
      </w:r>
      <w:r>
        <w:rPr>
          <w:sz w:val="22"/>
          <w:szCs w:val="22"/>
        </w:rPr>
        <w:t xml:space="preserve"> de Desenvolvimento Econômico</w:t>
      </w:r>
      <w:r w:rsidRPr="00F10DCA">
        <w:rPr>
          <w:sz w:val="22"/>
          <w:szCs w:val="22"/>
        </w:rPr>
        <w:t xml:space="preserve">, diante de prévio parecer do Conselho a que se refere o art. </w:t>
      </w:r>
      <w:r>
        <w:rPr>
          <w:sz w:val="22"/>
          <w:szCs w:val="22"/>
        </w:rPr>
        <w:t>3º</w:t>
      </w:r>
      <w:r w:rsidRPr="00F10DCA">
        <w:rPr>
          <w:sz w:val="22"/>
          <w:szCs w:val="22"/>
        </w:rPr>
        <w:t>.</w:t>
      </w:r>
    </w:p>
    <w:p w:rsidR="0080735A" w:rsidRPr="00F10DCA" w:rsidRDefault="0080735A" w:rsidP="0080735A">
      <w:pPr>
        <w:pStyle w:val="Default"/>
        <w:tabs>
          <w:tab w:val="left" w:pos="2694"/>
        </w:tabs>
        <w:spacing w:line="360" w:lineRule="auto"/>
        <w:ind w:left="567" w:firstLine="2127"/>
        <w:jc w:val="both"/>
        <w:rPr>
          <w:bCs/>
          <w:sz w:val="22"/>
          <w:szCs w:val="22"/>
        </w:rPr>
      </w:pPr>
      <w:r w:rsidRPr="00F10DCA">
        <w:rPr>
          <w:sz w:val="22"/>
          <w:szCs w:val="22"/>
        </w:rPr>
        <w:t xml:space="preserve"> </w:t>
      </w:r>
      <w:r w:rsidRPr="00F10DCA">
        <w:rPr>
          <w:b/>
          <w:sz w:val="22"/>
          <w:szCs w:val="22"/>
        </w:rPr>
        <w:t xml:space="preserve">Parágrafo </w:t>
      </w:r>
      <w:r>
        <w:rPr>
          <w:b/>
          <w:bCs/>
          <w:sz w:val="22"/>
          <w:szCs w:val="22"/>
        </w:rPr>
        <w:t>3</w:t>
      </w:r>
      <w:r w:rsidRPr="00F10DCA">
        <w:rPr>
          <w:b/>
          <w:bCs/>
          <w:sz w:val="22"/>
          <w:szCs w:val="22"/>
        </w:rPr>
        <w:t>.</w:t>
      </w:r>
      <w:r w:rsidRPr="00F10DCA">
        <w:rPr>
          <w:bCs/>
          <w:sz w:val="22"/>
          <w:szCs w:val="22"/>
        </w:rPr>
        <w:t>º Poderá, a critério do Conselho de Desenvolvimento Econômico, ser concedida a prorrogação do prazo de locação de barracões por no máximo mais um ano.</w:t>
      </w:r>
    </w:p>
    <w:p w:rsidR="0080735A" w:rsidRDefault="0080735A" w:rsidP="0080735A">
      <w:pPr>
        <w:pStyle w:val="Default"/>
        <w:tabs>
          <w:tab w:val="left" w:pos="2694"/>
        </w:tabs>
        <w:spacing w:line="360" w:lineRule="auto"/>
        <w:ind w:left="567" w:firstLine="2127"/>
        <w:jc w:val="both"/>
        <w:rPr>
          <w:b/>
          <w:sz w:val="22"/>
          <w:szCs w:val="22"/>
        </w:rPr>
      </w:pPr>
    </w:p>
    <w:p w:rsidR="0080735A" w:rsidRDefault="0080735A" w:rsidP="0080735A">
      <w:pPr>
        <w:pStyle w:val="Default"/>
        <w:tabs>
          <w:tab w:val="left" w:pos="2694"/>
        </w:tabs>
        <w:spacing w:line="360" w:lineRule="auto"/>
        <w:ind w:left="567" w:firstLine="2127"/>
        <w:jc w:val="both"/>
        <w:rPr>
          <w:bCs/>
          <w:sz w:val="22"/>
          <w:szCs w:val="22"/>
        </w:rPr>
      </w:pPr>
      <w:r w:rsidRPr="00F10DCA">
        <w:rPr>
          <w:b/>
          <w:sz w:val="22"/>
          <w:szCs w:val="22"/>
        </w:rPr>
        <w:lastRenderedPageBreak/>
        <w:t xml:space="preserve">Parágrafo </w:t>
      </w:r>
      <w:r>
        <w:rPr>
          <w:b/>
          <w:bCs/>
          <w:sz w:val="22"/>
          <w:szCs w:val="22"/>
        </w:rPr>
        <w:t>4</w:t>
      </w:r>
      <w:r w:rsidRPr="00F10DCA">
        <w:rPr>
          <w:b/>
          <w:bCs/>
          <w:sz w:val="22"/>
          <w:szCs w:val="22"/>
        </w:rPr>
        <w:t xml:space="preserve">.º </w:t>
      </w:r>
      <w:r w:rsidRPr="00F10DCA">
        <w:rPr>
          <w:bCs/>
          <w:sz w:val="22"/>
          <w:szCs w:val="22"/>
        </w:rPr>
        <w:t>A comprovação de emprego prevista no caput artigo deverá ser efetuada por meio da última Folha de pagamento de Empregados, sendo ainda admitida, provisoriamente, declaração firmada pelo responsável da empresa de que apresentara o CAGED em no máximo 60 (sessenta) dias.</w:t>
      </w:r>
    </w:p>
    <w:p w:rsidR="0080735A" w:rsidRPr="00F10DCA" w:rsidRDefault="0080735A" w:rsidP="0080735A">
      <w:pPr>
        <w:pStyle w:val="Default"/>
        <w:tabs>
          <w:tab w:val="left" w:pos="2694"/>
        </w:tabs>
        <w:spacing w:line="360" w:lineRule="auto"/>
        <w:ind w:left="567" w:firstLine="2127"/>
        <w:jc w:val="both"/>
        <w:rPr>
          <w:bCs/>
          <w:sz w:val="22"/>
          <w:szCs w:val="22"/>
        </w:rPr>
      </w:pPr>
    </w:p>
    <w:p w:rsidR="0080735A" w:rsidRPr="00F10DCA" w:rsidRDefault="0080735A" w:rsidP="0080735A">
      <w:pPr>
        <w:pStyle w:val="Default"/>
        <w:tabs>
          <w:tab w:val="left" w:pos="2694"/>
        </w:tabs>
        <w:spacing w:line="360" w:lineRule="auto"/>
        <w:ind w:left="567" w:firstLine="2127"/>
        <w:jc w:val="both"/>
        <w:rPr>
          <w:b/>
          <w:sz w:val="22"/>
          <w:szCs w:val="22"/>
        </w:rPr>
      </w:pPr>
      <w:r>
        <w:rPr>
          <w:b/>
          <w:sz w:val="22"/>
          <w:szCs w:val="22"/>
        </w:rPr>
        <w:t>SEÇÃO II</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DO ENQUADRAMENTO NO PROGRAMA</w:t>
      </w:r>
    </w:p>
    <w:p w:rsidR="0080735A" w:rsidRPr="00F10DCA" w:rsidRDefault="0080735A" w:rsidP="0080735A">
      <w:pPr>
        <w:pStyle w:val="Default"/>
        <w:tabs>
          <w:tab w:val="left" w:pos="2694"/>
        </w:tabs>
        <w:spacing w:line="360" w:lineRule="auto"/>
        <w:ind w:left="567" w:firstLine="2127"/>
        <w:jc w:val="both"/>
        <w:rPr>
          <w:sz w:val="22"/>
          <w:szCs w:val="22"/>
        </w:rPr>
      </w:pP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Art. 4º.</w:t>
      </w:r>
      <w:r w:rsidRPr="00F10DCA">
        <w:rPr>
          <w:sz w:val="22"/>
          <w:szCs w:val="22"/>
        </w:rPr>
        <w:t xml:space="preserve"> Para obter qualquer dos incentivos descritos nesta Lei, o interessado deverá apresentar requerimento dirigido ao prefeito Municipal, no qual especificará os incentivos pretendidos e juntará os seguintes documentos:</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 xml:space="preserve">I </w:t>
      </w:r>
      <w:r w:rsidRPr="00F10DCA">
        <w:rPr>
          <w:sz w:val="22"/>
          <w:szCs w:val="22"/>
        </w:rPr>
        <w:t>- requerimento Padrão de Incentivos;</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II</w:t>
      </w:r>
      <w:r w:rsidRPr="00F10DCA">
        <w:rPr>
          <w:sz w:val="22"/>
          <w:szCs w:val="22"/>
        </w:rPr>
        <w:t xml:space="preserve"> - formulário Geral de informação para Fomento, a ser fornecido pela Secretaria Municipal de Desenvolvimento Socioeconômico;</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III</w:t>
      </w:r>
      <w:r>
        <w:rPr>
          <w:sz w:val="22"/>
          <w:szCs w:val="22"/>
        </w:rPr>
        <w:t xml:space="preserve"> -</w:t>
      </w:r>
      <w:r w:rsidRPr="00F10DCA">
        <w:rPr>
          <w:sz w:val="22"/>
          <w:szCs w:val="22"/>
        </w:rPr>
        <w:t xml:space="preserve"> comprovante do CNPJ</w:t>
      </w:r>
      <w:r>
        <w:rPr>
          <w:sz w:val="22"/>
          <w:szCs w:val="22"/>
        </w:rPr>
        <w:t xml:space="preserve"> ou CPF</w:t>
      </w:r>
      <w:r w:rsidRPr="00F10DCA">
        <w:rPr>
          <w:sz w:val="22"/>
          <w:szCs w:val="22"/>
        </w:rPr>
        <w:t>;</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IV</w:t>
      </w:r>
      <w:r>
        <w:rPr>
          <w:sz w:val="22"/>
          <w:szCs w:val="22"/>
        </w:rPr>
        <w:t xml:space="preserve"> -</w:t>
      </w:r>
      <w:r w:rsidRPr="00F10DCA">
        <w:rPr>
          <w:sz w:val="22"/>
          <w:szCs w:val="22"/>
        </w:rPr>
        <w:t xml:space="preserve"> Contrato Social e sua última alteração;</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V</w:t>
      </w:r>
      <w:r>
        <w:rPr>
          <w:sz w:val="22"/>
          <w:szCs w:val="22"/>
        </w:rPr>
        <w:t xml:space="preserve"> -</w:t>
      </w:r>
      <w:r w:rsidRPr="00F10DCA">
        <w:rPr>
          <w:sz w:val="22"/>
          <w:szCs w:val="22"/>
        </w:rPr>
        <w:t xml:space="preserve"> certidão de Dívida Ativa Municipal;</w:t>
      </w:r>
    </w:p>
    <w:p w:rsidR="0080735A" w:rsidRDefault="0080735A" w:rsidP="0080735A">
      <w:pPr>
        <w:pStyle w:val="Default"/>
        <w:tabs>
          <w:tab w:val="left" w:pos="2694"/>
        </w:tabs>
        <w:spacing w:line="360" w:lineRule="auto"/>
        <w:ind w:left="567" w:firstLine="2127"/>
        <w:jc w:val="both"/>
        <w:rPr>
          <w:sz w:val="22"/>
          <w:szCs w:val="22"/>
        </w:rPr>
      </w:pPr>
      <w:r w:rsidRPr="00F10DCA">
        <w:rPr>
          <w:b/>
          <w:sz w:val="22"/>
          <w:szCs w:val="22"/>
        </w:rPr>
        <w:t>VI</w:t>
      </w:r>
      <w:r>
        <w:rPr>
          <w:sz w:val="22"/>
          <w:szCs w:val="22"/>
        </w:rPr>
        <w:t xml:space="preserve"> -</w:t>
      </w:r>
      <w:r w:rsidRPr="00F10DCA">
        <w:rPr>
          <w:sz w:val="22"/>
          <w:szCs w:val="22"/>
        </w:rPr>
        <w:t xml:space="preserve"> Documento de comprovação de </w:t>
      </w:r>
      <w:r>
        <w:rPr>
          <w:sz w:val="22"/>
          <w:szCs w:val="22"/>
        </w:rPr>
        <w:t xml:space="preserve">geração de empregos. </w:t>
      </w:r>
    </w:p>
    <w:p w:rsidR="0080735A" w:rsidRDefault="0080735A" w:rsidP="0080735A">
      <w:pPr>
        <w:pStyle w:val="Default"/>
        <w:tabs>
          <w:tab w:val="left" w:pos="2694"/>
        </w:tabs>
        <w:spacing w:line="360" w:lineRule="auto"/>
        <w:ind w:left="567" w:firstLine="2127"/>
        <w:jc w:val="both"/>
        <w:rPr>
          <w:b/>
          <w:sz w:val="22"/>
          <w:szCs w:val="22"/>
        </w:rPr>
      </w:pPr>
    </w:p>
    <w:p w:rsidR="0080735A" w:rsidRPr="00F10DCA" w:rsidRDefault="0080735A" w:rsidP="0080735A">
      <w:pPr>
        <w:pStyle w:val="Default"/>
        <w:tabs>
          <w:tab w:val="left" w:pos="2694"/>
        </w:tabs>
        <w:spacing w:line="360" w:lineRule="auto"/>
        <w:ind w:left="567" w:firstLine="2127"/>
        <w:jc w:val="both"/>
        <w:rPr>
          <w:bCs/>
          <w:sz w:val="22"/>
          <w:szCs w:val="22"/>
        </w:rPr>
      </w:pPr>
      <w:r w:rsidRPr="00F10DCA">
        <w:rPr>
          <w:b/>
          <w:sz w:val="22"/>
          <w:szCs w:val="22"/>
        </w:rPr>
        <w:t xml:space="preserve">Parágrafo </w:t>
      </w:r>
      <w:r>
        <w:rPr>
          <w:b/>
          <w:bCs/>
          <w:sz w:val="22"/>
          <w:szCs w:val="22"/>
        </w:rPr>
        <w:t>1</w:t>
      </w:r>
      <w:r w:rsidRPr="00F10DCA">
        <w:rPr>
          <w:b/>
          <w:bCs/>
          <w:sz w:val="22"/>
          <w:szCs w:val="22"/>
        </w:rPr>
        <w:t xml:space="preserve">.º </w:t>
      </w:r>
      <w:r w:rsidRPr="00F10DCA">
        <w:rPr>
          <w:bCs/>
          <w:sz w:val="22"/>
          <w:szCs w:val="22"/>
        </w:rPr>
        <w:t>A Secretaria de Desenvolvimento Econômico, poderão solicitar dos interessados informações ou documentos complementares que julgar indispensáveis para a avaliação do empreendimento.</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Art. 5º.</w:t>
      </w:r>
      <w:r w:rsidRPr="00F10DCA">
        <w:rPr>
          <w:sz w:val="22"/>
          <w:szCs w:val="22"/>
        </w:rPr>
        <w:t xml:space="preserve"> Para efeito de avaliação das solicitações enquadráveis na presente Lei, serão considerados prioritariamente projetos em função de:</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 xml:space="preserve">I </w:t>
      </w:r>
      <w:r>
        <w:rPr>
          <w:sz w:val="22"/>
          <w:szCs w:val="22"/>
        </w:rPr>
        <w:t>-</w:t>
      </w:r>
      <w:r w:rsidRPr="00F10DCA">
        <w:rPr>
          <w:sz w:val="22"/>
          <w:szCs w:val="22"/>
        </w:rPr>
        <w:t xml:space="preserve"> alcance social;</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II</w:t>
      </w:r>
      <w:r>
        <w:rPr>
          <w:sz w:val="22"/>
          <w:szCs w:val="22"/>
        </w:rPr>
        <w:t xml:space="preserve"> -</w:t>
      </w:r>
      <w:r w:rsidRPr="00F10DCA">
        <w:rPr>
          <w:sz w:val="22"/>
          <w:szCs w:val="22"/>
        </w:rPr>
        <w:t xml:space="preserve"> número de empregos;</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III</w:t>
      </w:r>
      <w:r>
        <w:rPr>
          <w:sz w:val="22"/>
          <w:szCs w:val="22"/>
        </w:rPr>
        <w:t xml:space="preserve"> -</w:t>
      </w:r>
      <w:r w:rsidRPr="00F10DCA">
        <w:rPr>
          <w:sz w:val="22"/>
          <w:szCs w:val="22"/>
        </w:rPr>
        <w:t xml:space="preserve"> utilização de mão-de-obra local;</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IV</w:t>
      </w:r>
      <w:r>
        <w:rPr>
          <w:sz w:val="22"/>
          <w:szCs w:val="22"/>
        </w:rPr>
        <w:t xml:space="preserve"> -</w:t>
      </w:r>
      <w:r w:rsidRPr="00F10DCA">
        <w:rPr>
          <w:sz w:val="22"/>
          <w:szCs w:val="22"/>
        </w:rPr>
        <w:t xml:space="preserve"> utilização de matéria-prima local;</w:t>
      </w:r>
    </w:p>
    <w:p w:rsidR="0080735A" w:rsidRPr="00F10DCA" w:rsidRDefault="0080735A" w:rsidP="0080735A">
      <w:pPr>
        <w:pStyle w:val="Default"/>
        <w:tabs>
          <w:tab w:val="left" w:pos="2694"/>
        </w:tabs>
        <w:spacing w:line="360" w:lineRule="auto"/>
        <w:ind w:left="567" w:firstLine="2127"/>
        <w:jc w:val="both"/>
        <w:rPr>
          <w:sz w:val="22"/>
          <w:szCs w:val="22"/>
        </w:rPr>
      </w:pPr>
    </w:p>
    <w:p w:rsidR="0080735A" w:rsidRPr="00F10DCA" w:rsidRDefault="0080735A" w:rsidP="0080735A">
      <w:pPr>
        <w:pStyle w:val="Default"/>
        <w:tabs>
          <w:tab w:val="left" w:pos="2694"/>
        </w:tabs>
        <w:spacing w:line="360" w:lineRule="auto"/>
        <w:ind w:left="567" w:firstLine="2127"/>
        <w:jc w:val="both"/>
        <w:rPr>
          <w:b/>
          <w:sz w:val="22"/>
          <w:szCs w:val="22"/>
        </w:rPr>
      </w:pPr>
      <w:r>
        <w:rPr>
          <w:b/>
          <w:sz w:val="22"/>
          <w:szCs w:val="22"/>
        </w:rPr>
        <w:t>SEÇÃO III</w:t>
      </w:r>
    </w:p>
    <w:p w:rsidR="0080735A" w:rsidRPr="00F10DCA" w:rsidRDefault="0080735A" w:rsidP="0080735A">
      <w:pPr>
        <w:pStyle w:val="Default"/>
        <w:tabs>
          <w:tab w:val="left" w:pos="2694"/>
        </w:tabs>
        <w:spacing w:line="360" w:lineRule="auto"/>
        <w:ind w:left="567" w:firstLine="2127"/>
        <w:jc w:val="both"/>
        <w:rPr>
          <w:b/>
          <w:sz w:val="22"/>
          <w:szCs w:val="22"/>
        </w:rPr>
      </w:pPr>
      <w:r w:rsidRPr="00F10DCA">
        <w:rPr>
          <w:b/>
          <w:sz w:val="22"/>
          <w:szCs w:val="22"/>
        </w:rPr>
        <w:t>DAS FONTES DE RECURSOS</w:t>
      </w:r>
    </w:p>
    <w:p w:rsidR="0080735A" w:rsidRPr="00F10DCA" w:rsidRDefault="0080735A" w:rsidP="0080735A">
      <w:pPr>
        <w:pStyle w:val="Default"/>
        <w:tabs>
          <w:tab w:val="left" w:pos="2694"/>
        </w:tabs>
        <w:spacing w:line="360" w:lineRule="auto"/>
        <w:ind w:left="567" w:firstLine="2127"/>
        <w:jc w:val="both"/>
        <w:rPr>
          <w:sz w:val="22"/>
          <w:szCs w:val="22"/>
        </w:rPr>
      </w:pP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Art. 6º</w:t>
      </w:r>
      <w:r w:rsidRPr="00F10DCA">
        <w:rPr>
          <w:sz w:val="22"/>
          <w:szCs w:val="22"/>
        </w:rPr>
        <w:t xml:space="preserve">. Para atender ás finalidades desta Lei, o Município aplicará os recursos orçamentários específicos previstos na Lei Orçamentária Anual e na </w:t>
      </w:r>
      <w:r w:rsidRPr="00F10DCA">
        <w:rPr>
          <w:sz w:val="22"/>
          <w:szCs w:val="22"/>
        </w:rPr>
        <w:lastRenderedPageBreak/>
        <w:t>Lei de Diretrizes Orçamentárias, podendo ainda captar outros recursos de transferências voluntárias, como convênios, doações, e outras fontes com destinação específica.</w:t>
      </w:r>
    </w:p>
    <w:p w:rsidR="0080735A" w:rsidRPr="00F10DCA" w:rsidRDefault="0080735A" w:rsidP="0080735A">
      <w:pPr>
        <w:pStyle w:val="Default"/>
        <w:tabs>
          <w:tab w:val="left" w:pos="2694"/>
        </w:tabs>
        <w:spacing w:line="360" w:lineRule="auto"/>
        <w:ind w:left="567" w:firstLine="2127"/>
        <w:jc w:val="both"/>
        <w:rPr>
          <w:sz w:val="22"/>
          <w:szCs w:val="22"/>
        </w:rPr>
      </w:pPr>
    </w:p>
    <w:p w:rsidR="0080735A" w:rsidRPr="00F10DCA" w:rsidRDefault="0080735A" w:rsidP="0080735A">
      <w:pPr>
        <w:pStyle w:val="Default"/>
        <w:tabs>
          <w:tab w:val="left" w:pos="2694"/>
        </w:tabs>
        <w:spacing w:line="360" w:lineRule="auto"/>
        <w:ind w:left="567" w:firstLine="2127"/>
        <w:jc w:val="both"/>
        <w:rPr>
          <w:b/>
          <w:sz w:val="22"/>
          <w:szCs w:val="22"/>
        </w:rPr>
      </w:pPr>
      <w:r w:rsidRPr="00F10DCA">
        <w:rPr>
          <w:b/>
          <w:sz w:val="22"/>
          <w:szCs w:val="22"/>
        </w:rPr>
        <w:t>CAPÍTULO IV</w:t>
      </w:r>
    </w:p>
    <w:p w:rsidR="0080735A" w:rsidRPr="00F10DCA" w:rsidRDefault="0080735A" w:rsidP="0080735A">
      <w:pPr>
        <w:pStyle w:val="Default"/>
        <w:tabs>
          <w:tab w:val="left" w:pos="2694"/>
        </w:tabs>
        <w:spacing w:line="360" w:lineRule="auto"/>
        <w:ind w:left="567" w:firstLine="2127"/>
        <w:jc w:val="both"/>
        <w:rPr>
          <w:b/>
          <w:sz w:val="22"/>
          <w:szCs w:val="22"/>
        </w:rPr>
      </w:pPr>
      <w:r w:rsidRPr="00F10DCA">
        <w:rPr>
          <w:b/>
          <w:sz w:val="22"/>
          <w:szCs w:val="22"/>
        </w:rPr>
        <w:t>Das penalidades</w:t>
      </w:r>
    </w:p>
    <w:p w:rsidR="0080735A" w:rsidRPr="00F10DCA" w:rsidRDefault="0080735A" w:rsidP="0080735A">
      <w:pPr>
        <w:pStyle w:val="Default"/>
        <w:tabs>
          <w:tab w:val="left" w:pos="2694"/>
        </w:tabs>
        <w:spacing w:line="360" w:lineRule="auto"/>
        <w:ind w:left="567" w:firstLine="2127"/>
        <w:jc w:val="both"/>
        <w:rPr>
          <w:b/>
          <w:sz w:val="22"/>
          <w:szCs w:val="22"/>
        </w:rPr>
      </w:pPr>
      <w:r w:rsidRPr="00F10DCA">
        <w:rPr>
          <w:b/>
          <w:sz w:val="22"/>
          <w:szCs w:val="22"/>
        </w:rPr>
        <w:t>SEÇÃO ÚNICA</w:t>
      </w:r>
    </w:p>
    <w:p w:rsidR="0080735A" w:rsidRDefault="0080735A" w:rsidP="0080735A">
      <w:pPr>
        <w:pStyle w:val="Default"/>
        <w:tabs>
          <w:tab w:val="left" w:pos="2694"/>
        </w:tabs>
        <w:spacing w:line="360" w:lineRule="auto"/>
        <w:ind w:left="567" w:firstLine="2127"/>
        <w:jc w:val="both"/>
        <w:rPr>
          <w:b/>
          <w:sz w:val="22"/>
          <w:szCs w:val="22"/>
        </w:rPr>
      </w:pPr>
      <w:r w:rsidRPr="00F10DCA">
        <w:rPr>
          <w:b/>
          <w:sz w:val="22"/>
          <w:szCs w:val="22"/>
        </w:rPr>
        <w:t>DAS CONDIÇÕES PARA SUSPENSÃO E REVOGAÇÃO DOS BENEFÍCIOS;</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I</w:t>
      </w:r>
      <w:r>
        <w:rPr>
          <w:sz w:val="22"/>
          <w:szCs w:val="22"/>
        </w:rPr>
        <w:t xml:space="preserve"> -</w:t>
      </w:r>
      <w:r w:rsidRPr="00F10DCA">
        <w:rPr>
          <w:sz w:val="22"/>
          <w:szCs w:val="22"/>
        </w:rPr>
        <w:t xml:space="preserve"> paralisarem suas atividades por mais de 06 (seis) meses;</w:t>
      </w:r>
    </w:p>
    <w:p w:rsidR="0080735A" w:rsidRPr="00F10DCA" w:rsidRDefault="0080735A" w:rsidP="0080735A">
      <w:pPr>
        <w:pStyle w:val="Default"/>
        <w:tabs>
          <w:tab w:val="left" w:pos="2694"/>
        </w:tabs>
        <w:spacing w:line="360" w:lineRule="auto"/>
        <w:ind w:left="567" w:firstLine="2127"/>
        <w:jc w:val="both"/>
        <w:rPr>
          <w:sz w:val="22"/>
          <w:szCs w:val="22"/>
        </w:rPr>
      </w:pPr>
      <w:r w:rsidRPr="00F10DCA">
        <w:rPr>
          <w:b/>
          <w:sz w:val="22"/>
          <w:szCs w:val="22"/>
        </w:rPr>
        <w:t>II</w:t>
      </w:r>
      <w:r>
        <w:rPr>
          <w:sz w:val="22"/>
          <w:szCs w:val="22"/>
        </w:rPr>
        <w:t xml:space="preserve"> -</w:t>
      </w:r>
      <w:r w:rsidRPr="00F10DCA">
        <w:rPr>
          <w:sz w:val="22"/>
          <w:szCs w:val="22"/>
        </w:rPr>
        <w:t xml:space="preserve"> deixarem de exercer </w:t>
      </w:r>
      <w:r>
        <w:rPr>
          <w:sz w:val="22"/>
          <w:szCs w:val="22"/>
        </w:rPr>
        <w:t>atividades</w:t>
      </w:r>
      <w:r w:rsidRPr="00F10DCA">
        <w:rPr>
          <w:sz w:val="22"/>
          <w:szCs w:val="22"/>
        </w:rPr>
        <w:t>, sublocarem, arrendarem, cederem em comodato ou de qualquer outra forma transferirem a terceiros o imóvel e/ou instalações, sem prévia e expressa autorização do Poder Executivo Municipal.</w:t>
      </w:r>
    </w:p>
    <w:p w:rsidR="0080735A" w:rsidRPr="00F10DCA" w:rsidRDefault="0080735A" w:rsidP="0080735A">
      <w:pPr>
        <w:pStyle w:val="Default"/>
        <w:tabs>
          <w:tab w:val="left" w:pos="2694"/>
        </w:tabs>
        <w:spacing w:line="360" w:lineRule="auto"/>
        <w:ind w:left="567" w:firstLine="2127"/>
        <w:jc w:val="both"/>
        <w:rPr>
          <w:bCs/>
          <w:sz w:val="22"/>
          <w:szCs w:val="22"/>
        </w:rPr>
      </w:pPr>
      <w:r w:rsidRPr="00F10DCA">
        <w:rPr>
          <w:b/>
          <w:bCs/>
          <w:sz w:val="22"/>
          <w:szCs w:val="22"/>
        </w:rPr>
        <w:t>III</w:t>
      </w:r>
      <w:r>
        <w:rPr>
          <w:bCs/>
          <w:sz w:val="22"/>
          <w:szCs w:val="22"/>
        </w:rPr>
        <w:t xml:space="preserve"> -</w:t>
      </w:r>
      <w:r w:rsidRPr="00F10DCA">
        <w:rPr>
          <w:bCs/>
          <w:sz w:val="22"/>
          <w:szCs w:val="22"/>
        </w:rPr>
        <w:t xml:space="preserve"> reduzirem o número de empregados descumprindo a graduação estabelecida;</w:t>
      </w:r>
    </w:p>
    <w:p w:rsidR="0080735A" w:rsidRPr="00F10DCA" w:rsidRDefault="0080735A" w:rsidP="0080735A">
      <w:pPr>
        <w:pStyle w:val="Default"/>
        <w:tabs>
          <w:tab w:val="left" w:pos="2694"/>
        </w:tabs>
        <w:spacing w:line="360" w:lineRule="auto"/>
        <w:ind w:left="567" w:firstLine="2127"/>
        <w:jc w:val="both"/>
        <w:rPr>
          <w:bCs/>
          <w:sz w:val="22"/>
          <w:szCs w:val="22"/>
        </w:rPr>
      </w:pPr>
    </w:p>
    <w:p w:rsidR="0080735A" w:rsidRPr="00F10DCA" w:rsidRDefault="0080735A" w:rsidP="0080735A">
      <w:pPr>
        <w:pStyle w:val="Default"/>
        <w:tabs>
          <w:tab w:val="left" w:pos="2694"/>
        </w:tabs>
        <w:spacing w:line="360" w:lineRule="auto"/>
        <w:ind w:left="567" w:firstLine="2127"/>
        <w:jc w:val="both"/>
        <w:rPr>
          <w:b/>
          <w:bCs/>
          <w:sz w:val="22"/>
          <w:szCs w:val="22"/>
        </w:rPr>
      </w:pPr>
      <w:r w:rsidRPr="00F10DCA">
        <w:rPr>
          <w:b/>
          <w:bCs/>
          <w:sz w:val="22"/>
          <w:szCs w:val="22"/>
        </w:rPr>
        <w:t>CAPÍTULO V</w:t>
      </w:r>
    </w:p>
    <w:p w:rsidR="0080735A" w:rsidRPr="00F10DCA" w:rsidRDefault="0080735A" w:rsidP="0080735A">
      <w:pPr>
        <w:pStyle w:val="Default"/>
        <w:tabs>
          <w:tab w:val="left" w:pos="2694"/>
        </w:tabs>
        <w:spacing w:line="360" w:lineRule="auto"/>
        <w:ind w:left="567" w:firstLine="2127"/>
        <w:jc w:val="both"/>
        <w:rPr>
          <w:b/>
          <w:bCs/>
          <w:sz w:val="22"/>
          <w:szCs w:val="22"/>
        </w:rPr>
      </w:pPr>
      <w:r w:rsidRPr="00F10DCA">
        <w:rPr>
          <w:b/>
          <w:bCs/>
          <w:sz w:val="22"/>
          <w:szCs w:val="22"/>
        </w:rPr>
        <w:t>Das Disposições Finais e Transitórias</w:t>
      </w:r>
    </w:p>
    <w:p w:rsidR="0080735A" w:rsidRPr="00F10DCA" w:rsidRDefault="0080735A" w:rsidP="0080735A">
      <w:pPr>
        <w:pStyle w:val="Default"/>
        <w:tabs>
          <w:tab w:val="left" w:pos="2694"/>
        </w:tabs>
        <w:spacing w:line="360" w:lineRule="auto"/>
        <w:ind w:left="567" w:firstLine="2127"/>
        <w:jc w:val="both"/>
        <w:rPr>
          <w:b/>
          <w:bCs/>
          <w:sz w:val="22"/>
          <w:szCs w:val="22"/>
        </w:rPr>
      </w:pPr>
      <w:r w:rsidRPr="00F10DCA">
        <w:rPr>
          <w:b/>
          <w:bCs/>
          <w:sz w:val="22"/>
          <w:szCs w:val="22"/>
        </w:rPr>
        <w:t>Seção Única</w:t>
      </w:r>
    </w:p>
    <w:p w:rsidR="0080735A" w:rsidRPr="00F10DCA" w:rsidRDefault="0080735A" w:rsidP="0080735A">
      <w:pPr>
        <w:pStyle w:val="Default"/>
        <w:tabs>
          <w:tab w:val="left" w:pos="2694"/>
        </w:tabs>
        <w:spacing w:line="360" w:lineRule="auto"/>
        <w:ind w:left="567" w:firstLine="2127"/>
        <w:jc w:val="both"/>
        <w:rPr>
          <w:bCs/>
          <w:sz w:val="22"/>
          <w:szCs w:val="22"/>
        </w:rPr>
      </w:pPr>
    </w:p>
    <w:p w:rsidR="0080735A" w:rsidRPr="00F10DCA" w:rsidRDefault="0080735A" w:rsidP="0080735A">
      <w:pPr>
        <w:pStyle w:val="Default"/>
        <w:tabs>
          <w:tab w:val="left" w:pos="2694"/>
        </w:tabs>
        <w:spacing w:line="360" w:lineRule="auto"/>
        <w:ind w:left="567" w:firstLine="2127"/>
        <w:jc w:val="both"/>
        <w:rPr>
          <w:bCs/>
          <w:sz w:val="22"/>
          <w:szCs w:val="22"/>
        </w:rPr>
      </w:pPr>
      <w:r w:rsidRPr="00F10DCA">
        <w:rPr>
          <w:b/>
          <w:sz w:val="22"/>
          <w:szCs w:val="22"/>
        </w:rPr>
        <w:t>Art. 7º</w:t>
      </w:r>
      <w:r w:rsidRPr="00F10DCA">
        <w:rPr>
          <w:sz w:val="22"/>
          <w:szCs w:val="22"/>
        </w:rPr>
        <w:t>. A fiscalização in loco dos empreendimentos ficará a cargo da Secretaria Municipal de Desenvolvimento Econômico.</w:t>
      </w:r>
    </w:p>
    <w:p w:rsidR="0080735A" w:rsidRPr="00F10DCA" w:rsidRDefault="0080735A" w:rsidP="0080735A">
      <w:pPr>
        <w:pStyle w:val="Default"/>
        <w:tabs>
          <w:tab w:val="left" w:pos="2694"/>
        </w:tabs>
        <w:spacing w:line="360" w:lineRule="auto"/>
        <w:ind w:left="567" w:firstLine="2127"/>
        <w:jc w:val="both"/>
        <w:rPr>
          <w:bCs/>
          <w:sz w:val="22"/>
          <w:szCs w:val="22"/>
        </w:rPr>
      </w:pPr>
      <w:r w:rsidRPr="00F10DCA">
        <w:rPr>
          <w:b/>
          <w:sz w:val="22"/>
          <w:szCs w:val="22"/>
        </w:rPr>
        <w:t>Art. 8º.</w:t>
      </w:r>
      <w:r w:rsidRPr="00F10DCA">
        <w:rPr>
          <w:sz w:val="22"/>
          <w:szCs w:val="22"/>
        </w:rPr>
        <w:t xml:space="preserve"> Sendo necessário, o chefe do Poder Executivo Municipal estipulará normas complementares à aplicação desta Lei.</w:t>
      </w:r>
    </w:p>
    <w:p w:rsidR="0080735A" w:rsidRPr="00F10DCA" w:rsidRDefault="0080735A" w:rsidP="0080735A">
      <w:pPr>
        <w:pStyle w:val="Default"/>
        <w:tabs>
          <w:tab w:val="left" w:pos="2268"/>
          <w:tab w:val="left" w:pos="2694"/>
        </w:tabs>
        <w:spacing w:line="360" w:lineRule="auto"/>
        <w:ind w:left="567" w:firstLine="2127"/>
        <w:jc w:val="both"/>
        <w:rPr>
          <w:bCs/>
          <w:sz w:val="22"/>
          <w:szCs w:val="22"/>
        </w:rPr>
      </w:pPr>
      <w:r w:rsidRPr="00F10DCA">
        <w:rPr>
          <w:b/>
          <w:bCs/>
          <w:sz w:val="22"/>
          <w:szCs w:val="22"/>
        </w:rPr>
        <w:t xml:space="preserve">Art. 9º - </w:t>
      </w:r>
      <w:r w:rsidRPr="00F10DCA">
        <w:rPr>
          <w:bCs/>
          <w:sz w:val="22"/>
          <w:szCs w:val="22"/>
        </w:rPr>
        <w:t>Esta Lei entra em vigor na data de sua publicação.</w:t>
      </w:r>
    </w:p>
    <w:p w:rsidR="0080735A" w:rsidRPr="00F10DCA" w:rsidRDefault="0080735A" w:rsidP="0080735A">
      <w:pPr>
        <w:pStyle w:val="Default"/>
        <w:tabs>
          <w:tab w:val="left" w:pos="2268"/>
          <w:tab w:val="left" w:pos="2694"/>
        </w:tabs>
        <w:spacing w:line="360" w:lineRule="auto"/>
        <w:ind w:left="567" w:firstLine="2127"/>
        <w:jc w:val="both"/>
        <w:rPr>
          <w:sz w:val="22"/>
          <w:szCs w:val="22"/>
        </w:rPr>
      </w:pPr>
    </w:p>
    <w:p w:rsidR="0080735A" w:rsidRPr="00F10DCA" w:rsidRDefault="0080735A" w:rsidP="0080735A">
      <w:pPr>
        <w:jc w:val="center"/>
        <w:rPr>
          <w:bCs/>
          <w:sz w:val="22"/>
          <w:szCs w:val="22"/>
        </w:rPr>
      </w:pPr>
      <w:r w:rsidRPr="00F10DCA">
        <w:rPr>
          <w:sz w:val="22"/>
          <w:szCs w:val="22"/>
        </w:rPr>
        <w:t xml:space="preserve">              </w:t>
      </w:r>
      <w:r w:rsidRPr="00F10DCA">
        <w:rPr>
          <w:bCs/>
          <w:sz w:val="22"/>
          <w:szCs w:val="22"/>
        </w:rPr>
        <w:t>PAÇO MUNICIPAL "29 DE ABRIL"</w:t>
      </w:r>
    </w:p>
    <w:p w:rsidR="0080735A" w:rsidRDefault="0080735A" w:rsidP="0080735A">
      <w:pPr>
        <w:jc w:val="center"/>
        <w:rPr>
          <w:sz w:val="22"/>
          <w:szCs w:val="22"/>
        </w:rPr>
      </w:pPr>
      <w:r w:rsidRPr="00F10DCA">
        <w:rPr>
          <w:sz w:val="22"/>
          <w:szCs w:val="22"/>
        </w:rPr>
        <w:t xml:space="preserve">                  </w:t>
      </w:r>
      <w:r>
        <w:rPr>
          <w:sz w:val="22"/>
          <w:szCs w:val="22"/>
        </w:rPr>
        <w:t>Quarto Centenário, 18</w:t>
      </w:r>
      <w:r w:rsidRPr="00F10DCA">
        <w:rPr>
          <w:sz w:val="22"/>
          <w:szCs w:val="22"/>
        </w:rPr>
        <w:t xml:space="preserve"> de </w:t>
      </w:r>
      <w:r>
        <w:rPr>
          <w:sz w:val="22"/>
          <w:szCs w:val="22"/>
        </w:rPr>
        <w:t>setembro</w:t>
      </w:r>
      <w:r w:rsidRPr="00F10DCA">
        <w:rPr>
          <w:sz w:val="22"/>
          <w:szCs w:val="22"/>
        </w:rPr>
        <w:t xml:space="preserve"> de 2013.</w:t>
      </w:r>
    </w:p>
    <w:p w:rsidR="0080735A" w:rsidRPr="00F10DCA" w:rsidRDefault="0080735A" w:rsidP="0080735A">
      <w:pPr>
        <w:jc w:val="center"/>
        <w:rPr>
          <w:sz w:val="22"/>
          <w:szCs w:val="22"/>
        </w:rPr>
      </w:pPr>
    </w:p>
    <w:p w:rsidR="0080735A" w:rsidRPr="00F10DCA" w:rsidRDefault="0080735A" w:rsidP="0080735A">
      <w:pPr>
        <w:spacing w:before="600"/>
        <w:jc w:val="center"/>
        <w:rPr>
          <w:b/>
          <w:sz w:val="22"/>
          <w:szCs w:val="22"/>
        </w:rPr>
      </w:pPr>
      <w:r w:rsidRPr="00F10DCA">
        <w:rPr>
          <w:b/>
          <w:sz w:val="22"/>
          <w:szCs w:val="22"/>
        </w:rPr>
        <w:t>REINALDO KRACHINSKI</w:t>
      </w:r>
    </w:p>
    <w:p w:rsidR="009E10C7" w:rsidRDefault="0080735A" w:rsidP="001B6F84">
      <w:pPr>
        <w:jc w:val="center"/>
      </w:pPr>
      <w:r w:rsidRPr="00F10DCA">
        <w:rPr>
          <w:sz w:val="22"/>
          <w:szCs w:val="22"/>
        </w:rPr>
        <w:t>Prefeito Municipal</w:t>
      </w:r>
    </w:p>
    <w:sectPr w:rsidR="009E10C7" w:rsidSect="00115FC5">
      <w:headerReference w:type="default" r:id="rId7"/>
      <w:footerReference w:type="default" r:id="rId8"/>
      <w:pgSz w:w="11906" w:h="16838"/>
      <w:pgMar w:top="260"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4AE" w:rsidRDefault="006744AE" w:rsidP="00FB5D37">
      <w:r>
        <w:separator/>
      </w:r>
    </w:p>
  </w:endnote>
  <w:endnote w:type="continuationSeparator" w:id="1">
    <w:p w:rsidR="006744AE" w:rsidRDefault="006744AE" w:rsidP="00FB5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C5" w:rsidRDefault="0080735A" w:rsidP="00115FC5">
    <w:pPr>
      <w:pStyle w:val="Rodap"/>
      <w:jc w:val="center"/>
    </w:pPr>
    <w:r>
      <w:t>PAÇO MUNICIPAL “29 DE ABRIL”</w:t>
    </w:r>
  </w:p>
  <w:p w:rsidR="00115FC5" w:rsidRDefault="0080735A" w:rsidP="00115FC5">
    <w:pPr>
      <w:pStyle w:val="Rodap"/>
      <w:jc w:val="center"/>
    </w:pPr>
    <w:r>
      <w:t>Av. Raposo Tavares, 594 - fone/fax (044) 3546-1109</w:t>
    </w:r>
  </w:p>
  <w:p w:rsidR="00115FC5" w:rsidRDefault="0080735A" w:rsidP="00115FC5">
    <w:pPr>
      <w:pStyle w:val="Rodap"/>
      <w:jc w:val="center"/>
    </w:pPr>
    <w:r>
      <w:t>QUARTO CENTENÁRIO-PR - CEP 87365000</w:t>
    </w:r>
  </w:p>
  <w:p w:rsidR="00115FC5" w:rsidRDefault="00843CFE" w:rsidP="00115FC5">
    <w:pPr>
      <w:pStyle w:val="Rodap"/>
    </w:pPr>
  </w:p>
  <w:p w:rsidR="00115FC5" w:rsidRDefault="00843CF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4AE" w:rsidRDefault="006744AE" w:rsidP="00FB5D37">
      <w:r>
        <w:separator/>
      </w:r>
    </w:p>
  </w:footnote>
  <w:footnote w:type="continuationSeparator" w:id="1">
    <w:p w:rsidR="006744AE" w:rsidRDefault="006744AE" w:rsidP="00FB5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FC5" w:rsidRPr="005C674C" w:rsidRDefault="0080735A" w:rsidP="00115FC5">
    <w:pPr>
      <w:pStyle w:val="Cabealho"/>
      <w:ind w:right="360"/>
      <w:jc w:val="center"/>
      <w:rPr>
        <w:bCs/>
        <w:sz w:val="44"/>
        <w:szCs w:val="44"/>
      </w:rPr>
    </w:pPr>
    <w:r w:rsidRPr="005C674C">
      <w:rPr>
        <w:bCs/>
        <w:sz w:val="44"/>
        <w:szCs w:val="44"/>
      </w:rPr>
      <w:t>MUNICÍPIO DE QUARTO CENTENÁRIO</w:t>
    </w:r>
  </w:p>
  <w:p w:rsidR="00115FC5" w:rsidRDefault="0080735A" w:rsidP="00115FC5">
    <w:pPr>
      <w:pStyle w:val="Cabealho"/>
      <w:pBdr>
        <w:top w:val="double" w:sz="6" w:space="1" w:color="auto"/>
      </w:pBdr>
      <w:jc w:val="center"/>
      <w:rPr>
        <w:rFonts w:ascii="Arial" w:hAnsi="Arial"/>
        <w:u w:val="single"/>
      </w:rPr>
    </w:pPr>
    <w:r>
      <w:rPr>
        <w:rFonts w:ascii="Arial" w:hAnsi="Arial"/>
        <w:u w:val="single"/>
      </w:rPr>
      <w:t>ESTADO DO PARANÁ</w:t>
    </w:r>
  </w:p>
  <w:p w:rsidR="00115FC5" w:rsidRDefault="00843CFE">
    <w:pPr>
      <w:pStyle w:val="Cabealho"/>
    </w:pPr>
  </w:p>
  <w:p w:rsidR="00115FC5" w:rsidRDefault="00843CF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928DB"/>
    <w:multiLevelType w:val="hybridMultilevel"/>
    <w:tmpl w:val="14821536"/>
    <w:lvl w:ilvl="0" w:tplc="8488FF48">
      <w:start w:val="1"/>
      <w:numFmt w:val="lowerLetter"/>
      <w:lvlText w:val="%1)"/>
      <w:lvlJc w:val="left"/>
      <w:pPr>
        <w:ind w:left="3054" w:hanging="360"/>
      </w:pPr>
      <w:rPr>
        <w:rFonts w:hint="default"/>
        <w:b/>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1">
    <w:nsid w:val="51417194"/>
    <w:multiLevelType w:val="hybridMultilevel"/>
    <w:tmpl w:val="9032376A"/>
    <w:lvl w:ilvl="0" w:tplc="5660F53E">
      <w:start w:val="1"/>
      <w:numFmt w:val="lowerLetter"/>
      <w:lvlText w:val="%1)"/>
      <w:lvlJc w:val="left"/>
      <w:pPr>
        <w:ind w:left="3054" w:hanging="360"/>
      </w:pPr>
      <w:rPr>
        <w:rFonts w:hint="default"/>
        <w:b/>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2">
    <w:nsid w:val="536F1D11"/>
    <w:multiLevelType w:val="hybridMultilevel"/>
    <w:tmpl w:val="D2A0D5DC"/>
    <w:lvl w:ilvl="0" w:tplc="F7AAEC1A">
      <w:start w:val="1"/>
      <w:numFmt w:val="lowerLetter"/>
      <w:lvlText w:val="%1)"/>
      <w:lvlJc w:val="left"/>
      <w:pPr>
        <w:ind w:left="3414" w:hanging="360"/>
      </w:pPr>
      <w:rPr>
        <w:rFonts w:hint="default"/>
        <w:b/>
      </w:rPr>
    </w:lvl>
    <w:lvl w:ilvl="1" w:tplc="04160019" w:tentative="1">
      <w:start w:val="1"/>
      <w:numFmt w:val="lowerLetter"/>
      <w:lvlText w:val="%2."/>
      <w:lvlJc w:val="left"/>
      <w:pPr>
        <w:ind w:left="4134" w:hanging="360"/>
      </w:pPr>
    </w:lvl>
    <w:lvl w:ilvl="2" w:tplc="0416001B" w:tentative="1">
      <w:start w:val="1"/>
      <w:numFmt w:val="lowerRoman"/>
      <w:lvlText w:val="%3."/>
      <w:lvlJc w:val="right"/>
      <w:pPr>
        <w:ind w:left="4854" w:hanging="180"/>
      </w:pPr>
    </w:lvl>
    <w:lvl w:ilvl="3" w:tplc="0416000F" w:tentative="1">
      <w:start w:val="1"/>
      <w:numFmt w:val="decimal"/>
      <w:lvlText w:val="%4."/>
      <w:lvlJc w:val="left"/>
      <w:pPr>
        <w:ind w:left="5574" w:hanging="360"/>
      </w:pPr>
    </w:lvl>
    <w:lvl w:ilvl="4" w:tplc="04160019" w:tentative="1">
      <w:start w:val="1"/>
      <w:numFmt w:val="lowerLetter"/>
      <w:lvlText w:val="%5."/>
      <w:lvlJc w:val="left"/>
      <w:pPr>
        <w:ind w:left="6294" w:hanging="360"/>
      </w:pPr>
    </w:lvl>
    <w:lvl w:ilvl="5" w:tplc="0416001B" w:tentative="1">
      <w:start w:val="1"/>
      <w:numFmt w:val="lowerRoman"/>
      <w:lvlText w:val="%6."/>
      <w:lvlJc w:val="right"/>
      <w:pPr>
        <w:ind w:left="7014" w:hanging="180"/>
      </w:pPr>
    </w:lvl>
    <w:lvl w:ilvl="6" w:tplc="0416000F" w:tentative="1">
      <w:start w:val="1"/>
      <w:numFmt w:val="decimal"/>
      <w:lvlText w:val="%7."/>
      <w:lvlJc w:val="left"/>
      <w:pPr>
        <w:ind w:left="7734" w:hanging="360"/>
      </w:pPr>
    </w:lvl>
    <w:lvl w:ilvl="7" w:tplc="04160019" w:tentative="1">
      <w:start w:val="1"/>
      <w:numFmt w:val="lowerLetter"/>
      <w:lvlText w:val="%8."/>
      <w:lvlJc w:val="left"/>
      <w:pPr>
        <w:ind w:left="8454" w:hanging="360"/>
      </w:pPr>
    </w:lvl>
    <w:lvl w:ilvl="8" w:tplc="0416001B" w:tentative="1">
      <w:start w:val="1"/>
      <w:numFmt w:val="lowerRoman"/>
      <w:lvlText w:val="%9."/>
      <w:lvlJc w:val="right"/>
      <w:pPr>
        <w:ind w:left="917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0735A"/>
    <w:rsid w:val="00123C9D"/>
    <w:rsid w:val="00197B95"/>
    <w:rsid w:val="001B6F84"/>
    <w:rsid w:val="00243EF8"/>
    <w:rsid w:val="006744AE"/>
    <w:rsid w:val="0080735A"/>
    <w:rsid w:val="00843CFE"/>
    <w:rsid w:val="00875169"/>
    <w:rsid w:val="009E10C7"/>
    <w:rsid w:val="00AE0833"/>
    <w:rsid w:val="00C40D59"/>
    <w:rsid w:val="00D44CD2"/>
    <w:rsid w:val="00D971D0"/>
    <w:rsid w:val="00E7296D"/>
    <w:rsid w:val="00E87568"/>
    <w:rsid w:val="00FB5D3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5A"/>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0735A"/>
    <w:pPr>
      <w:tabs>
        <w:tab w:val="center" w:pos="4252"/>
        <w:tab w:val="right" w:pos="8504"/>
      </w:tabs>
    </w:pPr>
  </w:style>
  <w:style w:type="character" w:customStyle="1" w:styleId="CabealhoChar">
    <w:name w:val="Cabeçalho Char"/>
    <w:basedOn w:val="Fontepargpadro"/>
    <w:link w:val="Cabealho"/>
    <w:rsid w:val="0080735A"/>
    <w:rPr>
      <w:rFonts w:ascii="Times New Roman" w:eastAsia="Times New Roman" w:hAnsi="Times New Roman" w:cs="Times New Roman"/>
      <w:sz w:val="20"/>
      <w:szCs w:val="20"/>
      <w:lang w:eastAsia="pt-BR"/>
    </w:rPr>
  </w:style>
  <w:style w:type="paragraph" w:styleId="Rodap">
    <w:name w:val="footer"/>
    <w:basedOn w:val="Normal"/>
    <w:link w:val="RodapChar"/>
    <w:unhideWhenUsed/>
    <w:rsid w:val="0080735A"/>
    <w:pPr>
      <w:tabs>
        <w:tab w:val="center" w:pos="4252"/>
        <w:tab w:val="right" w:pos="8504"/>
      </w:tabs>
    </w:pPr>
  </w:style>
  <w:style w:type="character" w:customStyle="1" w:styleId="RodapChar">
    <w:name w:val="Rodapé Char"/>
    <w:basedOn w:val="Fontepargpadro"/>
    <w:link w:val="Rodap"/>
    <w:rsid w:val="0080735A"/>
    <w:rPr>
      <w:rFonts w:ascii="Times New Roman" w:eastAsia="Times New Roman" w:hAnsi="Times New Roman" w:cs="Times New Roman"/>
      <w:sz w:val="20"/>
      <w:szCs w:val="20"/>
      <w:lang w:eastAsia="pt-BR"/>
    </w:rPr>
  </w:style>
  <w:style w:type="paragraph" w:customStyle="1" w:styleId="Default">
    <w:name w:val="Default"/>
    <w:rsid w:val="0080735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963</Words>
  <Characters>5204</Characters>
  <Application>Microsoft Office Word</Application>
  <DocSecurity>0</DocSecurity>
  <Lines>43</Lines>
  <Paragraphs>12</Paragraphs>
  <ScaleCrop>false</ScaleCrop>
  <Company>Grizli777</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2013-09-18T12:40:00Z</cp:lastPrinted>
  <dcterms:created xsi:type="dcterms:W3CDTF">2013-09-17T19:16:00Z</dcterms:created>
  <dcterms:modified xsi:type="dcterms:W3CDTF">2015-08-03T18:44:00Z</dcterms:modified>
</cp:coreProperties>
</file>