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7DA" w:rsidRDefault="005F77DA" w:rsidP="00BF6E0B">
      <w:pPr>
        <w:ind w:left="2124" w:firstLine="708"/>
        <w:rPr>
          <w:rFonts w:ascii="Arial" w:hAnsi="Arial" w:cs="Arial"/>
          <w:sz w:val="24"/>
          <w:szCs w:val="24"/>
        </w:rPr>
      </w:pPr>
      <w:bookmarkStart w:id="0" w:name="_GoBack"/>
      <w:bookmarkEnd w:id="0"/>
    </w:p>
    <w:p w:rsidR="00BF6E0B" w:rsidRDefault="00BF6E0B" w:rsidP="00BF6E0B">
      <w:pPr>
        <w:ind w:left="2124" w:firstLine="708"/>
        <w:rPr>
          <w:rFonts w:ascii="Tahoma" w:hAnsi="Tahoma" w:cs="Tahoma"/>
          <w:sz w:val="18"/>
          <w:szCs w:val="18"/>
        </w:rPr>
      </w:pPr>
      <w:r w:rsidRPr="00A952D3">
        <w:rPr>
          <w:rFonts w:ascii="Tahoma" w:hAnsi="Tahoma" w:cs="Tahoma"/>
          <w:sz w:val="18"/>
          <w:szCs w:val="18"/>
        </w:rPr>
        <w:t xml:space="preserve">DECRETO Nº </w:t>
      </w:r>
      <w:r w:rsidR="00966221">
        <w:rPr>
          <w:rFonts w:ascii="Tahoma" w:hAnsi="Tahoma" w:cs="Tahoma"/>
          <w:sz w:val="18"/>
          <w:szCs w:val="18"/>
        </w:rPr>
        <w:t>991</w:t>
      </w:r>
      <w:r w:rsidR="005F77DA" w:rsidRPr="00A952D3">
        <w:rPr>
          <w:rFonts w:ascii="Tahoma" w:hAnsi="Tahoma" w:cs="Tahoma"/>
          <w:sz w:val="18"/>
          <w:szCs w:val="18"/>
        </w:rPr>
        <w:t xml:space="preserve">/2017 </w:t>
      </w:r>
      <w:r w:rsidR="00A952D3">
        <w:rPr>
          <w:rFonts w:ascii="Tahoma" w:hAnsi="Tahoma" w:cs="Tahoma"/>
          <w:sz w:val="18"/>
          <w:szCs w:val="18"/>
        </w:rPr>
        <w:t>–</w:t>
      </w:r>
      <w:r w:rsidR="005F77DA" w:rsidRPr="00A952D3">
        <w:rPr>
          <w:rFonts w:ascii="Tahoma" w:hAnsi="Tahoma" w:cs="Tahoma"/>
          <w:sz w:val="18"/>
          <w:szCs w:val="18"/>
        </w:rPr>
        <w:t xml:space="preserve"> GAPRE</w:t>
      </w:r>
    </w:p>
    <w:p w:rsidR="00A952D3" w:rsidRPr="00A952D3" w:rsidRDefault="00A952D3" w:rsidP="00BF6E0B">
      <w:pPr>
        <w:ind w:left="2124" w:firstLine="708"/>
        <w:rPr>
          <w:rFonts w:ascii="Tahoma" w:hAnsi="Tahoma" w:cs="Tahoma"/>
          <w:sz w:val="18"/>
          <w:szCs w:val="18"/>
        </w:rPr>
      </w:pPr>
    </w:p>
    <w:p w:rsidR="00BF6E0B" w:rsidRPr="00A952D3" w:rsidRDefault="00BF6E0B" w:rsidP="00BF6E0B">
      <w:pPr>
        <w:ind w:left="2832"/>
        <w:jc w:val="both"/>
        <w:rPr>
          <w:rFonts w:ascii="Tahoma" w:hAnsi="Tahoma" w:cs="Tahoma"/>
          <w:sz w:val="18"/>
          <w:szCs w:val="18"/>
        </w:rPr>
      </w:pPr>
      <w:r w:rsidRPr="00A952D3">
        <w:rPr>
          <w:rFonts w:ascii="Tahoma" w:hAnsi="Tahoma" w:cs="Tahoma"/>
          <w:sz w:val="18"/>
          <w:szCs w:val="18"/>
        </w:rPr>
        <w:t xml:space="preserve">Regulamenta a aplicação da Lei Federal nº 13.019, de 31 de julho de 2014, com suas respectivas alterações, no Município de </w:t>
      </w:r>
      <w:r w:rsidR="005F77DA" w:rsidRPr="00A952D3">
        <w:rPr>
          <w:rFonts w:ascii="Tahoma" w:hAnsi="Tahoma" w:cs="Tahoma"/>
          <w:sz w:val="18"/>
          <w:szCs w:val="18"/>
        </w:rPr>
        <w:t>Quarto Centenário/PR</w:t>
      </w:r>
      <w:r w:rsidRPr="00A952D3">
        <w:rPr>
          <w:rFonts w:ascii="Tahoma" w:hAnsi="Tahoma" w:cs="Tahoma"/>
          <w:sz w:val="18"/>
          <w:szCs w:val="18"/>
        </w:rPr>
        <w:t xml:space="preserve">, para o fim de regulamentar, em âmbito local, as parcerias e </w:t>
      </w:r>
      <w:proofErr w:type="gramStart"/>
      <w:r w:rsidRPr="00A952D3">
        <w:rPr>
          <w:rFonts w:ascii="Tahoma" w:hAnsi="Tahoma" w:cs="Tahoma"/>
          <w:sz w:val="18"/>
          <w:szCs w:val="18"/>
        </w:rPr>
        <w:t>os acordo</w:t>
      </w:r>
      <w:proofErr w:type="gramEnd"/>
      <w:r w:rsidRPr="00A952D3">
        <w:rPr>
          <w:rFonts w:ascii="Tahoma" w:hAnsi="Tahoma" w:cs="Tahoma"/>
          <w:sz w:val="18"/>
          <w:szCs w:val="18"/>
        </w:rPr>
        <w:t xml:space="preserve"> de cooperação entre a administração pública e </w:t>
      </w:r>
      <w:proofErr w:type="gramStart"/>
      <w:r w:rsidRPr="00A952D3">
        <w:rPr>
          <w:rFonts w:ascii="Tahoma" w:hAnsi="Tahoma" w:cs="Tahoma"/>
          <w:sz w:val="18"/>
          <w:szCs w:val="18"/>
        </w:rPr>
        <w:t>organizações</w:t>
      </w:r>
      <w:proofErr w:type="gramEnd"/>
      <w:r w:rsidRPr="00A952D3">
        <w:rPr>
          <w:rFonts w:ascii="Tahoma" w:hAnsi="Tahoma" w:cs="Tahoma"/>
          <w:sz w:val="18"/>
          <w:szCs w:val="18"/>
        </w:rPr>
        <w:t xml:space="preserve"> da sociedade civil, em regime de mútua cooperação, para a consecução de finalidades de interesse público e recíproco.</w:t>
      </w:r>
    </w:p>
    <w:p w:rsidR="00A952D3" w:rsidRDefault="00A952D3" w:rsidP="00BF6E0B">
      <w:pPr>
        <w:ind w:left="2832"/>
        <w:jc w:val="both"/>
        <w:rPr>
          <w:rFonts w:ascii="Tahoma" w:hAnsi="Tahoma" w:cs="Tahoma"/>
          <w:sz w:val="18"/>
          <w:szCs w:val="18"/>
        </w:rPr>
      </w:pPr>
    </w:p>
    <w:p w:rsidR="005F77DA" w:rsidRDefault="00BF6E0B" w:rsidP="00BF6E0B">
      <w:pPr>
        <w:ind w:left="2832"/>
        <w:jc w:val="both"/>
        <w:rPr>
          <w:rFonts w:ascii="Tahoma" w:hAnsi="Tahoma" w:cs="Tahoma"/>
          <w:sz w:val="18"/>
          <w:szCs w:val="18"/>
        </w:rPr>
      </w:pPr>
      <w:r w:rsidRPr="00A952D3">
        <w:rPr>
          <w:rFonts w:ascii="Tahoma" w:hAnsi="Tahoma" w:cs="Tahoma"/>
          <w:sz w:val="18"/>
          <w:szCs w:val="18"/>
        </w:rPr>
        <w:t xml:space="preserve">O PREFEITO MUNICIPAL DE </w:t>
      </w:r>
      <w:r w:rsidR="005F77DA" w:rsidRPr="00A952D3">
        <w:rPr>
          <w:rFonts w:ascii="Tahoma" w:hAnsi="Tahoma" w:cs="Tahoma"/>
          <w:sz w:val="18"/>
          <w:szCs w:val="18"/>
        </w:rPr>
        <w:t>QUARTO CENTENÁRIO/PR</w:t>
      </w:r>
      <w:r w:rsidRPr="00A952D3">
        <w:rPr>
          <w:rFonts w:ascii="Tahoma" w:hAnsi="Tahoma" w:cs="Tahoma"/>
          <w:sz w:val="18"/>
          <w:szCs w:val="18"/>
        </w:rPr>
        <w:t>,</w:t>
      </w:r>
      <w:r w:rsidR="005F77DA" w:rsidRPr="00A952D3">
        <w:rPr>
          <w:rFonts w:ascii="Tahoma" w:hAnsi="Tahoma" w:cs="Tahoma"/>
          <w:sz w:val="18"/>
          <w:szCs w:val="18"/>
        </w:rPr>
        <w:t xml:space="preserve"> no </w:t>
      </w:r>
      <w:smartTag w:uri="schemas-houaiss/mini" w:element="verbetes">
        <w:r w:rsidR="005F77DA" w:rsidRPr="00A952D3">
          <w:rPr>
            <w:rFonts w:ascii="Tahoma" w:hAnsi="Tahoma" w:cs="Tahoma"/>
            <w:sz w:val="18"/>
            <w:szCs w:val="18"/>
          </w:rPr>
          <w:t>uso</w:t>
        </w:r>
      </w:smartTag>
      <w:r w:rsidR="005F77DA" w:rsidRPr="00A952D3">
        <w:rPr>
          <w:rFonts w:ascii="Tahoma" w:hAnsi="Tahoma" w:cs="Tahoma"/>
          <w:sz w:val="18"/>
          <w:szCs w:val="18"/>
        </w:rPr>
        <w:t xml:space="preserve"> de </w:t>
      </w:r>
      <w:smartTag w:uri="schemas-houaiss/mini" w:element="verbetes">
        <w:r w:rsidR="005F77DA" w:rsidRPr="00A952D3">
          <w:rPr>
            <w:rFonts w:ascii="Tahoma" w:hAnsi="Tahoma" w:cs="Tahoma"/>
            <w:sz w:val="18"/>
            <w:szCs w:val="18"/>
          </w:rPr>
          <w:t>suas</w:t>
        </w:r>
      </w:smartTag>
      <w:r w:rsidR="005F77DA" w:rsidRPr="00A952D3">
        <w:rPr>
          <w:rFonts w:ascii="Tahoma" w:hAnsi="Tahoma" w:cs="Tahoma"/>
          <w:sz w:val="18"/>
          <w:szCs w:val="18"/>
        </w:rPr>
        <w:t xml:space="preserve"> </w:t>
      </w:r>
      <w:smartTag w:uri="schemas-houaiss/mini" w:element="verbetes">
        <w:r w:rsidR="005F77DA" w:rsidRPr="00A952D3">
          <w:rPr>
            <w:rFonts w:ascii="Tahoma" w:hAnsi="Tahoma" w:cs="Tahoma"/>
            <w:sz w:val="18"/>
            <w:szCs w:val="18"/>
          </w:rPr>
          <w:t>atribuições</w:t>
        </w:r>
      </w:smartTag>
      <w:r w:rsidR="005F77DA" w:rsidRPr="00A952D3">
        <w:rPr>
          <w:rFonts w:ascii="Tahoma" w:hAnsi="Tahoma" w:cs="Tahoma"/>
          <w:sz w:val="18"/>
          <w:szCs w:val="18"/>
        </w:rPr>
        <w:t xml:space="preserve"> </w:t>
      </w:r>
      <w:smartTag w:uri="schemas-houaiss/mini" w:element="verbetes">
        <w:r w:rsidR="005F77DA" w:rsidRPr="00A952D3">
          <w:rPr>
            <w:rFonts w:ascii="Tahoma" w:hAnsi="Tahoma" w:cs="Tahoma"/>
            <w:sz w:val="18"/>
            <w:szCs w:val="18"/>
          </w:rPr>
          <w:t>legais</w:t>
        </w:r>
      </w:smartTag>
      <w:r w:rsidR="005F77DA" w:rsidRPr="00A952D3">
        <w:rPr>
          <w:rFonts w:ascii="Tahoma" w:hAnsi="Tahoma" w:cs="Tahoma"/>
          <w:sz w:val="18"/>
          <w:szCs w:val="18"/>
        </w:rPr>
        <w:t xml:space="preserve">, com respaldo na </w:t>
      </w:r>
      <w:smartTag w:uri="schemas-houaiss/mini" w:element="verbetes">
        <w:r w:rsidR="005F77DA" w:rsidRPr="00A952D3">
          <w:rPr>
            <w:rFonts w:ascii="Tahoma" w:hAnsi="Tahoma" w:cs="Tahoma"/>
            <w:sz w:val="18"/>
            <w:szCs w:val="18"/>
          </w:rPr>
          <w:t>alínea</w:t>
        </w:r>
      </w:smartTag>
      <w:r w:rsidR="005F77DA" w:rsidRPr="00A952D3">
        <w:rPr>
          <w:rFonts w:ascii="Tahoma" w:hAnsi="Tahoma" w:cs="Tahoma"/>
          <w:sz w:val="18"/>
          <w:szCs w:val="18"/>
        </w:rPr>
        <w:t xml:space="preserve"> “a”, </w:t>
      </w:r>
      <w:smartTag w:uri="schemas-houaiss/mini" w:element="verbetes">
        <w:r w:rsidR="005F77DA" w:rsidRPr="00A952D3">
          <w:rPr>
            <w:rFonts w:ascii="Tahoma" w:hAnsi="Tahoma" w:cs="Tahoma"/>
            <w:sz w:val="18"/>
            <w:szCs w:val="18"/>
          </w:rPr>
          <w:t>Inciso</w:t>
        </w:r>
      </w:smartTag>
      <w:r w:rsidR="005F77DA" w:rsidRPr="00A952D3">
        <w:rPr>
          <w:rFonts w:ascii="Tahoma" w:hAnsi="Tahoma" w:cs="Tahoma"/>
          <w:sz w:val="18"/>
          <w:szCs w:val="18"/>
        </w:rPr>
        <w:t xml:space="preserve"> I, do </w:t>
      </w:r>
      <w:smartTag w:uri="schemas-houaiss/mini" w:element="verbetes">
        <w:r w:rsidR="005F77DA" w:rsidRPr="00A952D3">
          <w:rPr>
            <w:rFonts w:ascii="Tahoma" w:hAnsi="Tahoma" w:cs="Tahoma"/>
            <w:sz w:val="18"/>
            <w:szCs w:val="18"/>
          </w:rPr>
          <w:t>Artigo</w:t>
        </w:r>
      </w:smartTag>
      <w:r w:rsidR="005F77DA" w:rsidRPr="00A952D3">
        <w:rPr>
          <w:rFonts w:ascii="Tahoma" w:hAnsi="Tahoma" w:cs="Tahoma"/>
          <w:sz w:val="18"/>
          <w:szCs w:val="18"/>
        </w:rPr>
        <w:t xml:space="preserve"> 131 da </w:t>
      </w:r>
      <w:smartTag w:uri="schemas-houaiss/mini" w:element="verbetes">
        <w:r w:rsidR="005F77DA" w:rsidRPr="00A952D3">
          <w:rPr>
            <w:rFonts w:ascii="Tahoma" w:hAnsi="Tahoma" w:cs="Tahoma"/>
            <w:sz w:val="18"/>
            <w:szCs w:val="18"/>
          </w:rPr>
          <w:t>Lei</w:t>
        </w:r>
      </w:smartTag>
      <w:r w:rsidR="005F77DA" w:rsidRPr="00A952D3">
        <w:rPr>
          <w:rFonts w:ascii="Tahoma" w:hAnsi="Tahoma" w:cs="Tahoma"/>
          <w:sz w:val="18"/>
          <w:szCs w:val="18"/>
        </w:rPr>
        <w:t xml:space="preserve"> </w:t>
      </w:r>
      <w:smartTag w:uri="schemas-houaiss/mini" w:element="verbetes">
        <w:r w:rsidR="005F77DA" w:rsidRPr="00A952D3">
          <w:rPr>
            <w:rFonts w:ascii="Tahoma" w:hAnsi="Tahoma" w:cs="Tahoma"/>
            <w:sz w:val="18"/>
            <w:szCs w:val="18"/>
          </w:rPr>
          <w:t>Orgânica</w:t>
        </w:r>
      </w:smartTag>
      <w:r w:rsidR="005F77DA" w:rsidRPr="00A952D3">
        <w:rPr>
          <w:rFonts w:ascii="Tahoma" w:hAnsi="Tahoma" w:cs="Tahoma"/>
          <w:sz w:val="18"/>
          <w:szCs w:val="18"/>
        </w:rPr>
        <w:t xml:space="preserve"> do Município</w:t>
      </w:r>
      <w:r w:rsidRPr="00A952D3">
        <w:rPr>
          <w:rFonts w:ascii="Tahoma" w:hAnsi="Tahoma" w:cs="Tahoma"/>
          <w:sz w:val="18"/>
          <w:szCs w:val="18"/>
        </w:rPr>
        <w:t xml:space="preserve">, com fundamento na Lei Federal nº 13.019, de 31 de julho de2014 e suas alterações, </w:t>
      </w:r>
    </w:p>
    <w:p w:rsidR="00CC1604" w:rsidRPr="00A952D3" w:rsidRDefault="00CC1604" w:rsidP="00BF6E0B">
      <w:pPr>
        <w:ind w:left="2832"/>
        <w:jc w:val="both"/>
        <w:rPr>
          <w:rFonts w:ascii="Tahoma" w:hAnsi="Tahoma" w:cs="Tahoma"/>
          <w:sz w:val="18"/>
          <w:szCs w:val="18"/>
        </w:rPr>
      </w:pPr>
    </w:p>
    <w:p w:rsidR="00BF6E0B" w:rsidRDefault="00BF6E0B" w:rsidP="00A952D3">
      <w:pPr>
        <w:ind w:left="2832"/>
        <w:jc w:val="both"/>
        <w:rPr>
          <w:rFonts w:ascii="Tahoma" w:hAnsi="Tahoma" w:cs="Tahoma"/>
          <w:sz w:val="18"/>
          <w:szCs w:val="18"/>
        </w:rPr>
      </w:pPr>
      <w:r w:rsidRPr="00A952D3">
        <w:rPr>
          <w:rFonts w:ascii="Tahoma" w:hAnsi="Tahoma" w:cs="Tahoma"/>
          <w:sz w:val="18"/>
          <w:szCs w:val="18"/>
        </w:rPr>
        <w:t>DECRETA:</w:t>
      </w:r>
    </w:p>
    <w:p w:rsidR="000637E7" w:rsidRPr="00A952D3" w:rsidRDefault="000637E7" w:rsidP="00A952D3">
      <w:pPr>
        <w:ind w:left="2832"/>
        <w:jc w:val="both"/>
        <w:rPr>
          <w:rFonts w:ascii="Tahoma" w:hAnsi="Tahoma" w:cs="Tahoma"/>
          <w:sz w:val="18"/>
          <w:szCs w:val="18"/>
        </w:rPr>
      </w:pPr>
    </w:p>
    <w:p w:rsidR="00BF6E0B" w:rsidRPr="00A952D3" w:rsidRDefault="00BF6E0B" w:rsidP="00BF6E0B">
      <w:pPr>
        <w:jc w:val="center"/>
        <w:rPr>
          <w:rFonts w:ascii="Tahoma" w:hAnsi="Tahoma" w:cs="Tahoma"/>
          <w:sz w:val="18"/>
          <w:szCs w:val="18"/>
        </w:rPr>
      </w:pPr>
      <w:r w:rsidRPr="00A952D3">
        <w:rPr>
          <w:rFonts w:ascii="Tahoma" w:hAnsi="Tahoma" w:cs="Tahoma"/>
          <w:sz w:val="18"/>
          <w:szCs w:val="18"/>
        </w:rPr>
        <w:t>CAPÍTULO I</w:t>
      </w:r>
    </w:p>
    <w:p w:rsidR="00BF6E0B" w:rsidRPr="00A952D3" w:rsidRDefault="00BF6E0B" w:rsidP="00A952D3">
      <w:pPr>
        <w:jc w:val="center"/>
        <w:rPr>
          <w:rFonts w:ascii="Tahoma" w:hAnsi="Tahoma" w:cs="Tahoma"/>
          <w:sz w:val="18"/>
          <w:szCs w:val="18"/>
        </w:rPr>
      </w:pPr>
      <w:r w:rsidRPr="00A952D3">
        <w:rPr>
          <w:rFonts w:ascii="Tahoma" w:hAnsi="Tahoma" w:cs="Tahoma"/>
          <w:sz w:val="18"/>
          <w:szCs w:val="18"/>
        </w:rPr>
        <w:t>DAS DISPOSIÇÕES GERAIS</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Art. 1º Este Decreto dispõe sobre regras e procedimentos do regime jurídico das parcerias celebradas entre a administração pública municipal e as organizações da sociedade civil de que trata a Lei Federal nº 13.019, de 31 de julho de 2014.</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 1º Recepciona, no âmbito local, as definições previstas no art. 2º da Lei Federal nº</w:t>
      </w:r>
      <w:r w:rsidR="00F34CCE">
        <w:rPr>
          <w:rFonts w:ascii="Tahoma" w:hAnsi="Tahoma" w:cs="Tahoma"/>
          <w:sz w:val="18"/>
          <w:szCs w:val="18"/>
        </w:rPr>
        <w:t xml:space="preserve"> </w:t>
      </w:r>
      <w:r w:rsidRPr="00A952D3">
        <w:rPr>
          <w:rFonts w:ascii="Tahoma" w:hAnsi="Tahoma" w:cs="Tahoma"/>
          <w:sz w:val="18"/>
          <w:szCs w:val="18"/>
        </w:rPr>
        <w:t>13.019, de 2014, com as atualizações e os acréscimos estabelecidos pela Lei Federal nº 13.204, de 14 de setembro de 2015.</w:t>
      </w:r>
    </w:p>
    <w:p w:rsidR="00BF6E0B" w:rsidRPr="00A952D3" w:rsidRDefault="00BF6E0B" w:rsidP="00BF6E0B">
      <w:pPr>
        <w:ind w:firstLine="708"/>
        <w:rPr>
          <w:rFonts w:ascii="Tahoma" w:hAnsi="Tahoma" w:cs="Tahoma"/>
          <w:sz w:val="18"/>
          <w:szCs w:val="18"/>
        </w:rPr>
      </w:pPr>
      <w:r w:rsidRPr="00A952D3">
        <w:rPr>
          <w:rFonts w:ascii="Tahoma" w:hAnsi="Tahoma" w:cs="Tahoma"/>
          <w:sz w:val="18"/>
          <w:szCs w:val="18"/>
        </w:rPr>
        <w:t>§ 2º Aplica-se subsidiariamente ao disposto neste Decreto:</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 xml:space="preserve">I - o Decreto Federal nº 8.428, de </w:t>
      </w:r>
      <w:proofErr w:type="gramStart"/>
      <w:r w:rsidRPr="00A952D3">
        <w:rPr>
          <w:rFonts w:ascii="Tahoma" w:hAnsi="Tahoma" w:cs="Tahoma"/>
          <w:sz w:val="18"/>
          <w:szCs w:val="18"/>
        </w:rPr>
        <w:t>2</w:t>
      </w:r>
      <w:proofErr w:type="gramEnd"/>
      <w:r w:rsidRPr="00A952D3">
        <w:rPr>
          <w:rFonts w:ascii="Tahoma" w:hAnsi="Tahoma" w:cs="Tahoma"/>
          <w:sz w:val="18"/>
          <w:szCs w:val="18"/>
        </w:rPr>
        <w:t xml:space="preserve"> de abril de 2015, que dispõe sobre Procedimento de Manifestação de Interesse, a ser observado na apresentação de projetos, levantamentos, investigações ou estudos, por pessoa física ou jurídica de direito privado, a serem utilizados pela administração pública;</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II – o Decreto Federal nº 8.726, de 27 de abril de 2016, que regulamenta a Lei Federal nº 13.019, de 31 de julho de 2014, para dispor sobre regras e procedimentos do regime jurídico das parcerias celebradas entre a administração pública federal e as organizações da sociedade civil.</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 xml:space="preserve">§3º A administração pública municipal adotará procedimentos para orientar e facilitar a realização de parcerias e estabelecerá, sempre que </w:t>
      </w:r>
      <w:proofErr w:type="gramStart"/>
      <w:r w:rsidRPr="00A952D3">
        <w:rPr>
          <w:rFonts w:ascii="Tahoma" w:hAnsi="Tahoma" w:cs="Tahoma"/>
          <w:sz w:val="18"/>
          <w:szCs w:val="18"/>
        </w:rPr>
        <w:t>possível, critérios</w:t>
      </w:r>
      <w:proofErr w:type="gramEnd"/>
      <w:r w:rsidRPr="00A952D3">
        <w:rPr>
          <w:rFonts w:ascii="Tahoma" w:hAnsi="Tahoma" w:cs="Tahoma"/>
          <w:sz w:val="18"/>
          <w:szCs w:val="18"/>
        </w:rPr>
        <w:t xml:space="preserve"> para definir objetos, metas, custos e indicadores de avaliação de resultados.</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§4º</w:t>
      </w:r>
      <w:r w:rsidR="005F77DA" w:rsidRPr="00A952D3">
        <w:rPr>
          <w:rFonts w:ascii="Tahoma" w:hAnsi="Tahoma" w:cs="Tahoma"/>
          <w:sz w:val="18"/>
          <w:szCs w:val="18"/>
        </w:rPr>
        <w:t xml:space="preserve"> O Município </w:t>
      </w:r>
      <w:r w:rsidRPr="00A952D3">
        <w:rPr>
          <w:rFonts w:ascii="Tahoma" w:hAnsi="Tahoma" w:cs="Tahoma"/>
          <w:sz w:val="18"/>
          <w:szCs w:val="18"/>
        </w:rPr>
        <w:t>publicará,</w:t>
      </w:r>
      <w:r w:rsidR="00F34CCE" w:rsidRPr="00A952D3">
        <w:rPr>
          <w:rFonts w:ascii="Tahoma" w:hAnsi="Tahoma" w:cs="Tahoma"/>
          <w:sz w:val="18"/>
          <w:szCs w:val="18"/>
        </w:rPr>
        <w:t xml:space="preserve"> </w:t>
      </w:r>
      <w:r w:rsidRPr="00A952D3">
        <w:rPr>
          <w:rFonts w:ascii="Tahoma" w:hAnsi="Tahoma" w:cs="Tahoma"/>
          <w:sz w:val="18"/>
          <w:szCs w:val="18"/>
        </w:rPr>
        <w:t>no</w:t>
      </w:r>
      <w:r w:rsidR="00F34CCE" w:rsidRPr="00A952D3">
        <w:rPr>
          <w:rFonts w:ascii="Tahoma" w:hAnsi="Tahoma" w:cs="Tahoma"/>
          <w:sz w:val="18"/>
          <w:szCs w:val="18"/>
        </w:rPr>
        <w:t xml:space="preserve"> </w:t>
      </w:r>
      <w:r w:rsidRPr="00A952D3">
        <w:rPr>
          <w:rFonts w:ascii="Tahoma" w:hAnsi="Tahoma" w:cs="Tahoma"/>
          <w:sz w:val="18"/>
          <w:szCs w:val="18"/>
        </w:rPr>
        <w:t>sítio</w:t>
      </w:r>
      <w:r w:rsidR="00F34CCE" w:rsidRPr="00A952D3">
        <w:rPr>
          <w:rFonts w:ascii="Tahoma" w:hAnsi="Tahoma" w:cs="Tahoma"/>
          <w:sz w:val="18"/>
          <w:szCs w:val="18"/>
        </w:rPr>
        <w:t xml:space="preserve"> </w:t>
      </w:r>
      <w:r w:rsidRPr="00A952D3">
        <w:rPr>
          <w:rFonts w:ascii="Tahoma" w:hAnsi="Tahoma" w:cs="Tahoma"/>
          <w:sz w:val="18"/>
          <w:szCs w:val="18"/>
        </w:rPr>
        <w:t>eletrônico</w:t>
      </w:r>
      <w:r w:rsidR="00F34CCE" w:rsidRPr="00A952D3">
        <w:rPr>
          <w:rFonts w:ascii="Tahoma" w:hAnsi="Tahoma" w:cs="Tahoma"/>
          <w:sz w:val="18"/>
          <w:szCs w:val="18"/>
        </w:rPr>
        <w:t xml:space="preserve"> </w:t>
      </w:r>
      <w:r w:rsidRPr="00A952D3">
        <w:rPr>
          <w:rFonts w:ascii="Tahoma" w:hAnsi="Tahoma" w:cs="Tahoma"/>
          <w:sz w:val="18"/>
          <w:szCs w:val="18"/>
        </w:rPr>
        <w:t>oficial</w:t>
      </w:r>
      <w:r w:rsidR="00F34CCE" w:rsidRPr="00A952D3">
        <w:rPr>
          <w:rFonts w:ascii="Tahoma" w:hAnsi="Tahoma" w:cs="Tahoma"/>
          <w:sz w:val="18"/>
          <w:szCs w:val="18"/>
        </w:rPr>
        <w:t xml:space="preserve"> </w:t>
      </w:r>
      <w:r w:rsidRPr="00A952D3">
        <w:rPr>
          <w:rFonts w:ascii="Tahoma" w:hAnsi="Tahoma" w:cs="Tahoma"/>
          <w:sz w:val="18"/>
          <w:szCs w:val="18"/>
        </w:rPr>
        <w:t>do</w:t>
      </w:r>
      <w:r w:rsidR="00F34CCE" w:rsidRPr="00A952D3">
        <w:rPr>
          <w:rFonts w:ascii="Tahoma" w:hAnsi="Tahoma" w:cs="Tahoma"/>
          <w:sz w:val="18"/>
          <w:szCs w:val="18"/>
        </w:rPr>
        <w:t xml:space="preserve"> </w:t>
      </w:r>
      <w:r w:rsidRPr="00A952D3">
        <w:rPr>
          <w:rFonts w:ascii="Tahoma" w:hAnsi="Tahoma" w:cs="Tahoma"/>
          <w:sz w:val="18"/>
          <w:szCs w:val="18"/>
        </w:rPr>
        <w:t>Município,</w:t>
      </w:r>
      <w:r w:rsidR="005F77DA" w:rsidRPr="00A952D3">
        <w:rPr>
          <w:rFonts w:ascii="Tahoma" w:hAnsi="Tahoma" w:cs="Tahoma"/>
          <w:sz w:val="18"/>
          <w:szCs w:val="18"/>
        </w:rPr>
        <w:t xml:space="preserve"> </w:t>
      </w:r>
      <w:r w:rsidRPr="00A952D3">
        <w:rPr>
          <w:rFonts w:ascii="Tahoma" w:hAnsi="Tahoma" w:cs="Tahoma"/>
          <w:sz w:val="18"/>
          <w:szCs w:val="18"/>
        </w:rPr>
        <w:t>informações que contemplem os procedimentos a serem observados em todas as fases da parceria, para orientar os gestores públicos e as organizações da sociedade civil, nos termos do § 1º do art. 63 da Lei Federal nº 13.019, de 2014.</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lastRenderedPageBreak/>
        <w:t>§ 5º A atualização das informações referidas no § 3º deve ser constante, tendo como base as alterações da legislação federal.</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 xml:space="preserve">§ 6º </w:t>
      </w:r>
      <w:r w:rsidR="00966221">
        <w:rPr>
          <w:rFonts w:ascii="Tahoma" w:hAnsi="Tahoma" w:cs="Tahoma"/>
          <w:sz w:val="18"/>
          <w:szCs w:val="18"/>
        </w:rPr>
        <w:t>O poder executivo municipal</w:t>
      </w:r>
      <w:r w:rsidRPr="00A952D3">
        <w:rPr>
          <w:rFonts w:ascii="Tahoma" w:hAnsi="Tahoma" w:cs="Tahoma"/>
          <w:sz w:val="18"/>
          <w:szCs w:val="18"/>
        </w:rPr>
        <w:t xml:space="preserve"> pode</w:t>
      </w:r>
      <w:r w:rsidR="00966221">
        <w:rPr>
          <w:rFonts w:ascii="Tahoma" w:hAnsi="Tahoma" w:cs="Tahoma"/>
          <w:sz w:val="18"/>
          <w:szCs w:val="18"/>
        </w:rPr>
        <w:t xml:space="preserve">rá </w:t>
      </w:r>
      <w:r w:rsidRPr="00A952D3">
        <w:rPr>
          <w:rFonts w:ascii="Tahoma" w:hAnsi="Tahoma" w:cs="Tahoma"/>
          <w:sz w:val="18"/>
          <w:szCs w:val="18"/>
        </w:rPr>
        <w:t>editar orientações complementares, de acordo com as especificidades dos programas e das políticas públicas setoriais.</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Art. 2º As parcerias entre a administração pública municipal e as organizações da sociedade civil terão por objeto a execução de atividade ou projeto e deverão ser formalizadas por meio das seguintes modalidades:</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I - termo de fomento ou termo de colaboração, quando envolver transferência de recurso financeiro; ou</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II - acordo de cooperação, quando não envolver transferência de recurso financeiro.</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Art. 3º O acordo de cooperação previsto no inciso II do art. 2°:</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I – poderá ser proposto pela administração pública municipal ou pela organização da sociedade civil.</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II – será firmado pelo Prefeito, permitida a delegação;</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 xml:space="preserve">III – poderá ser </w:t>
      </w:r>
      <w:proofErr w:type="gramStart"/>
      <w:r w:rsidRPr="00A952D3">
        <w:rPr>
          <w:rFonts w:ascii="Tahoma" w:hAnsi="Tahoma" w:cs="Tahoma"/>
          <w:sz w:val="18"/>
          <w:szCs w:val="18"/>
        </w:rPr>
        <w:t>prorrogado de acordo com o interesse público, hipótese que prescinde de prévia análise jurídica</w:t>
      </w:r>
      <w:proofErr w:type="gramEnd"/>
      <w:r w:rsidRPr="00A952D3">
        <w:rPr>
          <w:rFonts w:ascii="Tahoma" w:hAnsi="Tahoma" w:cs="Tahoma"/>
          <w:sz w:val="18"/>
          <w:szCs w:val="18"/>
        </w:rPr>
        <w:t>.</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 xml:space="preserve">Parágrafo Único: São aplicáveis ao acordo de cooperação as regras e os procedimentos referidos no art. 5° </w:t>
      </w:r>
      <w:r w:rsidR="000566C6" w:rsidRPr="00A952D3">
        <w:rPr>
          <w:rFonts w:ascii="Tahoma" w:hAnsi="Tahoma" w:cs="Tahoma"/>
          <w:sz w:val="18"/>
          <w:szCs w:val="18"/>
        </w:rPr>
        <w:t>do Decreto Federal n° 8.726/2016</w:t>
      </w:r>
      <w:r w:rsidRPr="00A952D3">
        <w:rPr>
          <w:rFonts w:ascii="Tahoma" w:hAnsi="Tahoma" w:cs="Tahoma"/>
          <w:sz w:val="18"/>
          <w:szCs w:val="18"/>
        </w:rPr>
        <w:t>.</w:t>
      </w:r>
    </w:p>
    <w:p w:rsidR="00BF6E0B" w:rsidRPr="00A952D3" w:rsidRDefault="00BF6E0B" w:rsidP="00BF6E0B">
      <w:pPr>
        <w:jc w:val="center"/>
        <w:rPr>
          <w:rFonts w:ascii="Tahoma" w:hAnsi="Tahoma" w:cs="Tahoma"/>
          <w:sz w:val="18"/>
          <w:szCs w:val="18"/>
        </w:rPr>
      </w:pPr>
      <w:r w:rsidRPr="00A952D3">
        <w:rPr>
          <w:rFonts w:ascii="Tahoma" w:hAnsi="Tahoma" w:cs="Tahoma"/>
          <w:sz w:val="18"/>
          <w:szCs w:val="18"/>
        </w:rPr>
        <w:t>CAPÍTULO II</w:t>
      </w:r>
    </w:p>
    <w:p w:rsidR="00BF6E0B" w:rsidRPr="00A952D3" w:rsidRDefault="00BF6E0B" w:rsidP="00BF6E0B">
      <w:pPr>
        <w:jc w:val="center"/>
        <w:rPr>
          <w:rFonts w:ascii="Tahoma" w:hAnsi="Tahoma" w:cs="Tahoma"/>
          <w:sz w:val="18"/>
          <w:szCs w:val="18"/>
        </w:rPr>
      </w:pPr>
      <w:r w:rsidRPr="00A952D3">
        <w:rPr>
          <w:rFonts w:ascii="Tahoma" w:hAnsi="Tahoma" w:cs="Tahoma"/>
          <w:sz w:val="18"/>
          <w:szCs w:val="18"/>
        </w:rPr>
        <w:t>DO CHAMENTO PÚBLICO E DA SELEÇÃO DA ORGANIZAÇÃO PARCEIRA</w:t>
      </w:r>
    </w:p>
    <w:p w:rsidR="00A952D3" w:rsidRPr="00A952D3" w:rsidRDefault="00A952D3" w:rsidP="00BF6E0B">
      <w:pPr>
        <w:jc w:val="center"/>
        <w:rPr>
          <w:rFonts w:ascii="Tahoma" w:hAnsi="Tahoma" w:cs="Tahoma"/>
          <w:sz w:val="18"/>
          <w:szCs w:val="18"/>
        </w:rPr>
      </w:pP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Art. 4º A seleção da organização da sociedade civil para celebrar parceria deverá ser realizada pela administração pública municipal, por meio de chamamento público, nos termos do art.24 da Lei Federal nº 13.019, de 2014.</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 xml:space="preserve">§ 1º O chamamento público poderá selecionar mais de uma proposta, mediante formalização de termo de atuação em rede, se houver previsão no </w:t>
      </w:r>
      <w:proofErr w:type="gramStart"/>
      <w:r w:rsidRPr="00A952D3">
        <w:rPr>
          <w:rFonts w:ascii="Tahoma" w:hAnsi="Tahoma" w:cs="Tahoma"/>
          <w:sz w:val="18"/>
          <w:szCs w:val="18"/>
        </w:rPr>
        <w:t>edital, observadas</w:t>
      </w:r>
      <w:proofErr w:type="gramEnd"/>
      <w:r w:rsidRPr="00A952D3">
        <w:rPr>
          <w:rFonts w:ascii="Tahoma" w:hAnsi="Tahoma" w:cs="Tahoma"/>
          <w:sz w:val="18"/>
          <w:szCs w:val="18"/>
        </w:rPr>
        <w:t xml:space="preserve"> as formalidades dos </w:t>
      </w:r>
      <w:proofErr w:type="spellStart"/>
      <w:r w:rsidRPr="00A952D3">
        <w:rPr>
          <w:rFonts w:ascii="Tahoma" w:hAnsi="Tahoma" w:cs="Tahoma"/>
          <w:sz w:val="18"/>
          <w:szCs w:val="18"/>
        </w:rPr>
        <w:t>arts</w:t>
      </w:r>
      <w:proofErr w:type="spellEnd"/>
      <w:r w:rsidRPr="00A952D3">
        <w:rPr>
          <w:rFonts w:ascii="Tahoma" w:hAnsi="Tahoma" w:cs="Tahoma"/>
          <w:sz w:val="18"/>
          <w:szCs w:val="18"/>
        </w:rPr>
        <w:t>. 45 e seguintes do D</w:t>
      </w:r>
      <w:r w:rsidR="00FF418B" w:rsidRPr="00A952D3">
        <w:rPr>
          <w:rFonts w:ascii="Tahoma" w:hAnsi="Tahoma" w:cs="Tahoma"/>
          <w:sz w:val="18"/>
          <w:szCs w:val="18"/>
        </w:rPr>
        <w:t>ecreto Federal nº 8.726, de 2016</w:t>
      </w:r>
      <w:r w:rsidRPr="00A952D3">
        <w:rPr>
          <w:rFonts w:ascii="Tahoma" w:hAnsi="Tahoma" w:cs="Tahoma"/>
          <w:sz w:val="18"/>
          <w:szCs w:val="18"/>
        </w:rPr>
        <w:t>.</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 xml:space="preserve">§ 2º O chamamento público para celebração de parcerias executadas com recursos de fundos específicos, como o da criança e do adolescente, do idoso e de defesa de direitos difusos, entreoutros, poderá ser formalizada, em sua fase interna, pelos respectivos conselhos, conforme legislação </w:t>
      </w:r>
      <w:proofErr w:type="gramStart"/>
      <w:r w:rsidRPr="00A952D3">
        <w:rPr>
          <w:rFonts w:ascii="Tahoma" w:hAnsi="Tahoma" w:cs="Tahoma"/>
          <w:sz w:val="18"/>
          <w:szCs w:val="18"/>
        </w:rPr>
        <w:t>específica, respeitadas</w:t>
      </w:r>
      <w:proofErr w:type="gramEnd"/>
      <w:r w:rsidRPr="00A952D3">
        <w:rPr>
          <w:rFonts w:ascii="Tahoma" w:hAnsi="Tahoma" w:cs="Tahoma"/>
          <w:sz w:val="18"/>
          <w:szCs w:val="18"/>
        </w:rPr>
        <w:t xml:space="preserve"> as exigências da Lei Federal nº 13.019, de 2014, e deste Decreto.</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 xml:space="preserve">§ 3º Os termos de fomento ou de colaboração que </w:t>
      </w:r>
      <w:proofErr w:type="gramStart"/>
      <w:r w:rsidRPr="00A952D3">
        <w:rPr>
          <w:rFonts w:ascii="Tahoma" w:hAnsi="Tahoma" w:cs="Tahoma"/>
          <w:sz w:val="18"/>
          <w:szCs w:val="18"/>
        </w:rPr>
        <w:t>envolvam</w:t>
      </w:r>
      <w:proofErr w:type="gramEnd"/>
      <w:r w:rsidRPr="00A952D3">
        <w:rPr>
          <w:rFonts w:ascii="Tahoma" w:hAnsi="Tahoma" w:cs="Tahoma"/>
          <w:sz w:val="18"/>
          <w:szCs w:val="18"/>
        </w:rPr>
        <w:t xml:space="preserve"> recursos decorrentes de emendas parlamentares às leis orçamentárias anuais serão celebrados com dispensa do chamamento público, nos termos do </w:t>
      </w:r>
      <w:proofErr w:type="spellStart"/>
      <w:r w:rsidRPr="00A952D3">
        <w:rPr>
          <w:rFonts w:ascii="Tahoma" w:hAnsi="Tahoma" w:cs="Tahoma"/>
          <w:sz w:val="18"/>
          <w:szCs w:val="18"/>
        </w:rPr>
        <w:t>arts</w:t>
      </w:r>
      <w:proofErr w:type="spellEnd"/>
      <w:r w:rsidRPr="00A952D3">
        <w:rPr>
          <w:rFonts w:ascii="Tahoma" w:hAnsi="Tahoma" w:cs="Tahoma"/>
          <w:sz w:val="18"/>
          <w:szCs w:val="18"/>
        </w:rPr>
        <w:t>. 29 e 30</w:t>
      </w:r>
      <w:proofErr w:type="gramStart"/>
      <w:r w:rsidRPr="00A952D3">
        <w:rPr>
          <w:rFonts w:ascii="Tahoma" w:hAnsi="Tahoma" w:cs="Tahoma"/>
          <w:sz w:val="18"/>
          <w:szCs w:val="18"/>
        </w:rPr>
        <w:t>, VI</w:t>
      </w:r>
      <w:proofErr w:type="gramEnd"/>
      <w:r w:rsidRPr="00A952D3">
        <w:rPr>
          <w:rFonts w:ascii="Tahoma" w:hAnsi="Tahoma" w:cs="Tahoma"/>
          <w:sz w:val="18"/>
          <w:szCs w:val="18"/>
        </w:rPr>
        <w:t>, da Lei Federal nº 13.019, de 2014.</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 4º O chamamento público poderá ser dispensado ou será considerado inexigível nas hipóteses previstas nos art. 30 e art. 31 da Lei Federal nº 13.019, de 2014, mediante decisão fundamentada do Prefeito, nos termos do art. 32 da referida Lei.</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lastRenderedPageBreak/>
        <w:t>§ 5º Além das condições exigidas pela Lei Federal nº 13.019, de 2014, a organização da sociedade civil interessada em parceria, nos termos deste Decreto, não poderá estar em débito com a fazenda pública municipal.</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Art. 6º A administração pública municipal nomeará Comissão de Seleção e de Julgamento para o Chamamento Público, sendo esta um órgão colegiado, composto por três agentes públicos, designados por portaria, com pelo menos dois de seus membros servidores ocupantes de cargo de provimento efetivo.</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 1º Quando se tratar de Chamamento Público para parceria que envolva programas ou políticas públicas setoriais, a Comissão de que trata este artigo poderá ser composta por mais dois servidores da área.</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 2º Na portaria de nomeação o Presidente e o Secretário da Comissão de Seleção</w:t>
      </w:r>
      <w:r w:rsidR="00966221">
        <w:rPr>
          <w:rFonts w:ascii="Tahoma" w:hAnsi="Tahoma" w:cs="Tahoma"/>
          <w:sz w:val="18"/>
          <w:szCs w:val="18"/>
        </w:rPr>
        <w:t xml:space="preserve"> </w:t>
      </w:r>
      <w:r w:rsidRPr="00A952D3">
        <w:rPr>
          <w:rFonts w:ascii="Tahoma" w:hAnsi="Tahoma" w:cs="Tahoma"/>
          <w:sz w:val="18"/>
          <w:szCs w:val="18"/>
        </w:rPr>
        <w:t>assumirão a responsabilidade pela condução dos trabalhos.</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 3º Será impedida de participar de Comissão, para fins deste artigo, o servidor que, nos últimos cinco anos, tenha mantido vínculo jurídico com, ao menos, uma das entidades em disputa.</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 4º Configurado o impedimento previsto no § 3º, deverá ser designado membro substituto que possua qualificação equivalente à do substituído.</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 5º O processo de seleção abrangerá a avaliação das propostas, a divulgação e a homologação dos resultados.</w:t>
      </w:r>
    </w:p>
    <w:p w:rsidR="00BF6E0B" w:rsidRPr="00A952D3" w:rsidRDefault="00BF6E0B" w:rsidP="00BF6E0B">
      <w:pPr>
        <w:ind w:firstLine="708"/>
        <w:rPr>
          <w:rFonts w:ascii="Tahoma" w:hAnsi="Tahoma" w:cs="Tahoma"/>
          <w:sz w:val="18"/>
          <w:szCs w:val="18"/>
        </w:rPr>
      </w:pPr>
      <w:r w:rsidRPr="00A952D3">
        <w:rPr>
          <w:rFonts w:ascii="Tahoma" w:hAnsi="Tahoma" w:cs="Tahoma"/>
          <w:sz w:val="18"/>
          <w:szCs w:val="18"/>
        </w:rPr>
        <w:t>Art. 7º A avaliação das propostas terá caráter eliminatório e classificatório.</w:t>
      </w:r>
    </w:p>
    <w:p w:rsidR="00BF6E0B" w:rsidRPr="00A952D3" w:rsidRDefault="00BF6E0B" w:rsidP="00BF6E0B">
      <w:pPr>
        <w:ind w:firstLine="708"/>
        <w:jc w:val="both"/>
        <w:rPr>
          <w:rFonts w:ascii="Tahoma" w:hAnsi="Tahoma" w:cs="Tahoma"/>
          <w:sz w:val="18"/>
          <w:szCs w:val="18"/>
        </w:rPr>
      </w:pPr>
      <w:r w:rsidRPr="00A952D3">
        <w:rPr>
          <w:rFonts w:ascii="Tahoma" w:hAnsi="Tahoma" w:cs="Tahoma"/>
          <w:sz w:val="18"/>
          <w:szCs w:val="18"/>
        </w:rPr>
        <w:t>§ 1º As propostas serão classificadas de acordo com os critérios de julgamentoestabelecidos no edital.</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 2º Será eliminada a organização da sociedade civil cuja proposta esteja em desacordo com os termos do edital ou que não contenha as seguintes informações:</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I - a descrição da realidade objeto da parceria e o nexo com a atividade ou o projeto proposto;</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II – as ações a serem executadas, as metas a serem atingidas e os indicadores que aferirão o cumprimento das metas;</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III – os prazos para a execução das ações e para o cumprimento das metas; e</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IV – o valor global.</w:t>
      </w:r>
    </w:p>
    <w:p w:rsidR="006C2466" w:rsidRPr="00A952D3" w:rsidRDefault="006C2466" w:rsidP="006C2466">
      <w:pPr>
        <w:ind w:firstLine="708"/>
        <w:jc w:val="both"/>
        <w:rPr>
          <w:rFonts w:ascii="Tahoma" w:hAnsi="Tahoma" w:cs="Tahoma"/>
          <w:sz w:val="18"/>
          <w:szCs w:val="18"/>
        </w:rPr>
      </w:pPr>
      <w:r w:rsidRPr="00A952D3">
        <w:rPr>
          <w:rFonts w:ascii="Tahoma" w:hAnsi="Tahoma" w:cs="Tahoma"/>
          <w:sz w:val="18"/>
          <w:szCs w:val="18"/>
        </w:rPr>
        <w:t>A</w:t>
      </w:r>
      <w:r w:rsidR="00BF6E0B" w:rsidRPr="00A952D3">
        <w:rPr>
          <w:rFonts w:ascii="Tahoma" w:hAnsi="Tahoma" w:cs="Tahoma"/>
          <w:sz w:val="18"/>
          <w:szCs w:val="18"/>
        </w:rPr>
        <w:t>rt. 8º A administração pública municipal divulgará o resultado preliminar do processo de seleção no seu sítio eletrônico oficial</w:t>
      </w:r>
      <w:r w:rsidRPr="00A952D3">
        <w:rPr>
          <w:rFonts w:ascii="Tahoma" w:hAnsi="Tahoma" w:cs="Tahoma"/>
          <w:sz w:val="18"/>
          <w:szCs w:val="18"/>
        </w:rPr>
        <w:t>.</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Art. 9º As organizações da sociedade civil poderão apresentar recurso contra o resultado preliminar, no prazo de cinco dias, contado da publicação da decisão, ao colegiado que a proferiu.</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 1º Os recursos que não forem reconsiderados pelo colegiado no prazo de cinco dias, contados do recebimento, deverão ser encaminhados ao Prefeito para decisão final.</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 2º Os recursos poderão ser apresentados por meio do sítio eletrônico oficial do</w:t>
      </w:r>
      <w:r w:rsidR="00CC1604">
        <w:rPr>
          <w:rFonts w:ascii="Tahoma" w:hAnsi="Tahoma" w:cs="Tahoma"/>
          <w:sz w:val="18"/>
          <w:szCs w:val="18"/>
        </w:rPr>
        <w:t xml:space="preserve"> </w:t>
      </w:r>
      <w:r w:rsidRPr="00A952D3">
        <w:rPr>
          <w:rFonts w:ascii="Tahoma" w:hAnsi="Tahoma" w:cs="Tahoma"/>
          <w:sz w:val="18"/>
          <w:szCs w:val="18"/>
        </w:rPr>
        <w:t>Município ou no setor de protocolo da Prefeitura.</w:t>
      </w:r>
    </w:p>
    <w:p w:rsidR="00BF6E0B" w:rsidRPr="00A952D3" w:rsidRDefault="00BF6E0B" w:rsidP="006C2466">
      <w:pPr>
        <w:ind w:firstLine="708"/>
        <w:rPr>
          <w:rFonts w:ascii="Tahoma" w:hAnsi="Tahoma" w:cs="Tahoma"/>
          <w:sz w:val="18"/>
          <w:szCs w:val="18"/>
        </w:rPr>
      </w:pPr>
      <w:r w:rsidRPr="00A952D3">
        <w:rPr>
          <w:rFonts w:ascii="Tahoma" w:hAnsi="Tahoma" w:cs="Tahoma"/>
          <w:sz w:val="18"/>
          <w:szCs w:val="18"/>
        </w:rPr>
        <w:t>§ 3º Não caberá novo recurso da decisão do recurso previsto neste artigo.</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lastRenderedPageBreak/>
        <w:t>Art. 10. Após o julgamento dos recursos ou o transcurso do prazo para interposição de recurso, a administração pública municipal deverá homologar e divulgar as decisões recursais proferidas e o resultado definitivo do processo de seleção.</w:t>
      </w:r>
    </w:p>
    <w:p w:rsidR="00BF6E0B" w:rsidRPr="00A952D3" w:rsidRDefault="00BF6E0B" w:rsidP="006C2466">
      <w:pPr>
        <w:jc w:val="center"/>
        <w:rPr>
          <w:rFonts w:ascii="Tahoma" w:hAnsi="Tahoma" w:cs="Tahoma"/>
          <w:sz w:val="18"/>
          <w:szCs w:val="18"/>
        </w:rPr>
      </w:pPr>
      <w:r w:rsidRPr="00A952D3">
        <w:rPr>
          <w:rFonts w:ascii="Tahoma" w:hAnsi="Tahoma" w:cs="Tahoma"/>
          <w:sz w:val="18"/>
          <w:szCs w:val="18"/>
        </w:rPr>
        <w:t>CAPÍTULO III</w:t>
      </w:r>
    </w:p>
    <w:p w:rsidR="00BF6E0B" w:rsidRPr="00A952D3" w:rsidRDefault="00BF6E0B" w:rsidP="006C2466">
      <w:pPr>
        <w:jc w:val="center"/>
        <w:rPr>
          <w:rFonts w:ascii="Tahoma" w:hAnsi="Tahoma" w:cs="Tahoma"/>
          <w:sz w:val="18"/>
          <w:szCs w:val="18"/>
        </w:rPr>
      </w:pPr>
      <w:r w:rsidRPr="00A952D3">
        <w:rPr>
          <w:rFonts w:ascii="Tahoma" w:hAnsi="Tahoma" w:cs="Tahoma"/>
          <w:sz w:val="18"/>
          <w:szCs w:val="18"/>
        </w:rPr>
        <w:t>DO PROCEDIMENTO DE MANIFESTAÇÃO DE INTERESSE SOCIAL</w:t>
      </w:r>
    </w:p>
    <w:p w:rsidR="005F77DA" w:rsidRPr="00A952D3" w:rsidRDefault="005F77DA" w:rsidP="006C2466">
      <w:pPr>
        <w:jc w:val="center"/>
        <w:rPr>
          <w:rFonts w:ascii="Tahoma" w:hAnsi="Tahoma" w:cs="Tahoma"/>
          <w:sz w:val="18"/>
          <w:szCs w:val="18"/>
        </w:rPr>
      </w:pP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Art. 11. O Procedimento de Manifestação de Interesse Social é o instrumento por meio do qual as organizações da sociedade civil, movimentos sociais e cidadãos poderão apresentar propostas à administração pública municipal, diretamente na Secretaria vinculada à área de atuação do projeto pretendido, para que esta avalie a possibilidade de realização de um chamamento público objetivando a celebração de parceria.</w:t>
      </w:r>
    </w:p>
    <w:p w:rsidR="006C2466" w:rsidRPr="00A952D3" w:rsidRDefault="00BF6E0B" w:rsidP="006C2466">
      <w:pPr>
        <w:ind w:firstLine="708"/>
        <w:jc w:val="both"/>
        <w:rPr>
          <w:rFonts w:ascii="Tahoma" w:hAnsi="Tahoma" w:cs="Tahoma"/>
          <w:sz w:val="18"/>
          <w:szCs w:val="18"/>
        </w:rPr>
      </w:pPr>
      <w:r w:rsidRPr="00A952D3">
        <w:rPr>
          <w:rFonts w:ascii="Tahoma" w:hAnsi="Tahoma" w:cs="Tahoma"/>
          <w:sz w:val="18"/>
          <w:szCs w:val="18"/>
        </w:rPr>
        <w:t xml:space="preserve">§ 1º O Procedimento de Manifestação de Interesse Social deve conter: </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I - identificação do subscritor da proposta;</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II - indicação do interesse público envolvido; e</w:t>
      </w:r>
    </w:p>
    <w:p w:rsidR="00BF6E0B" w:rsidRPr="00A952D3" w:rsidRDefault="00BF6E0B" w:rsidP="005F77DA">
      <w:pPr>
        <w:ind w:firstLine="708"/>
        <w:jc w:val="both"/>
        <w:rPr>
          <w:rFonts w:ascii="Tahoma" w:hAnsi="Tahoma" w:cs="Tahoma"/>
          <w:sz w:val="18"/>
          <w:szCs w:val="18"/>
        </w:rPr>
      </w:pPr>
      <w:r w:rsidRPr="00A952D3">
        <w:rPr>
          <w:rFonts w:ascii="Tahoma" w:hAnsi="Tahoma" w:cs="Tahoma"/>
          <w:sz w:val="18"/>
          <w:szCs w:val="18"/>
        </w:rPr>
        <w:t>III - diagnóstico da realidade que se quer modificar, aprimorar ou desenvolver e, quando possível, indicação de viabilidade, de custos, de benefícios e de prazos de execução da ação pretendida.</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 2º Preenchidos os requisitos, a administração pública municipal deverá tornar pública a proposta no sítio eletrônico do Município e, verificada a conveniência e oportunidade para realização do Procedimento de Manifestação de Interesse Social, o instaurará para oitiva da sociedade sobre o tema.</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 3º A realização do procedimento previsto no § 2º não obrigará a execução do projeto proposto, que acontecerá de acordo com as possibilidades da administração pública municipal.</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 4º A Manifestação de Interesse social não dispensa a convocação, por meio de chamamento público, para a celebração de parceria.</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 5º A proposição ou a participação no Procedimento de Manifestação de Interesse Social não impede a organização da sociedade civil de participar no eventua</w:t>
      </w:r>
      <w:r w:rsidR="00891314" w:rsidRPr="00A952D3">
        <w:rPr>
          <w:rFonts w:ascii="Tahoma" w:hAnsi="Tahoma" w:cs="Tahoma"/>
          <w:sz w:val="18"/>
          <w:szCs w:val="18"/>
        </w:rPr>
        <w:t>l chamamento público</w:t>
      </w:r>
      <w:r w:rsidRPr="00A952D3">
        <w:rPr>
          <w:rFonts w:ascii="Tahoma" w:hAnsi="Tahoma" w:cs="Tahoma"/>
          <w:sz w:val="18"/>
          <w:szCs w:val="18"/>
        </w:rPr>
        <w:t>.</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 xml:space="preserve">Art. 12. A execução das parcerias pode se </w:t>
      </w:r>
      <w:proofErr w:type="gramStart"/>
      <w:r w:rsidRPr="00A952D3">
        <w:rPr>
          <w:rFonts w:ascii="Tahoma" w:hAnsi="Tahoma" w:cs="Tahoma"/>
          <w:sz w:val="18"/>
          <w:szCs w:val="18"/>
        </w:rPr>
        <w:t>dar</w:t>
      </w:r>
      <w:proofErr w:type="gramEnd"/>
      <w:r w:rsidRPr="00A952D3">
        <w:rPr>
          <w:rFonts w:ascii="Tahoma" w:hAnsi="Tahoma" w:cs="Tahoma"/>
          <w:sz w:val="18"/>
          <w:szCs w:val="18"/>
        </w:rPr>
        <w:t xml:space="preserve"> por atuação em rede de duas ou mais organizações da sociedade civil, a ser formalizada mediante assinatura de termo de atuação em rede.</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 1º A atuação em rede pode se efetivar pela realização de ações coincidentes, quando há identidade de intervenções, ou de ações diferentes e complementares à execução do objeto da parceria.</w:t>
      </w:r>
    </w:p>
    <w:p w:rsidR="00BF6E0B" w:rsidRPr="00A952D3" w:rsidRDefault="00BF6E0B" w:rsidP="006C2466">
      <w:pPr>
        <w:ind w:firstLine="708"/>
        <w:rPr>
          <w:rFonts w:ascii="Tahoma" w:hAnsi="Tahoma" w:cs="Tahoma"/>
          <w:sz w:val="18"/>
          <w:szCs w:val="18"/>
        </w:rPr>
      </w:pPr>
      <w:r w:rsidRPr="00A952D3">
        <w:rPr>
          <w:rFonts w:ascii="Tahoma" w:hAnsi="Tahoma" w:cs="Tahoma"/>
          <w:sz w:val="18"/>
          <w:szCs w:val="18"/>
        </w:rPr>
        <w:t>§ 2º A rede deve ser composta por:</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I - uma organização da sociedade civil celebrante da parceria com a administração pública municipal, que ficará responsável pela rede e atuará como sua supervisora, mobilizadora e orientadora, podendo participar diretamente ou não da execução do objeto; e</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 xml:space="preserve">II - uma ou mais organizações da sociedade </w:t>
      </w:r>
      <w:proofErr w:type="gramStart"/>
      <w:r w:rsidRPr="00A952D3">
        <w:rPr>
          <w:rFonts w:ascii="Tahoma" w:hAnsi="Tahoma" w:cs="Tahoma"/>
          <w:sz w:val="18"/>
          <w:szCs w:val="18"/>
        </w:rPr>
        <w:t>civil executantes</w:t>
      </w:r>
      <w:proofErr w:type="gramEnd"/>
      <w:r w:rsidRPr="00A952D3">
        <w:rPr>
          <w:rFonts w:ascii="Tahoma" w:hAnsi="Tahoma" w:cs="Tahoma"/>
          <w:sz w:val="18"/>
          <w:szCs w:val="18"/>
        </w:rPr>
        <w:t xml:space="preserve"> e não celebrantes daparceria com a administração pública municipal, que deverão executar ações relacionadas ao objeto da parceria definidas em comum acordo com a organização da sociedade civil celebrante.</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 3º A atuação em rede não caracteriza subcontratação de serviços e nem descaracteriza a capacidade técnica e operacional da organização da sociedade civil celebrante.</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lastRenderedPageBreak/>
        <w:t xml:space="preserve">§ 4º Aplica-se, à atuação em rede, o disposto nos </w:t>
      </w:r>
      <w:proofErr w:type="spellStart"/>
      <w:r w:rsidRPr="00A952D3">
        <w:rPr>
          <w:rFonts w:ascii="Tahoma" w:hAnsi="Tahoma" w:cs="Tahoma"/>
          <w:sz w:val="18"/>
          <w:szCs w:val="18"/>
        </w:rPr>
        <w:t>arts</w:t>
      </w:r>
      <w:proofErr w:type="spellEnd"/>
      <w:r w:rsidRPr="00A952D3">
        <w:rPr>
          <w:rFonts w:ascii="Tahoma" w:hAnsi="Tahoma" w:cs="Tahoma"/>
          <w:sz w:val="18"/>
          <w:szCs w:val="18"/>
        </w:rPr>
        <w:t>. 45 e seguintes do Decreto Federal nº 8.726, de 2016.</w:t>
      </w:r>
    </w:p>
    <w:p w:rsidR="00BF6E0B" w:rsidRPr="00A952D3" w:rsidRDefault="00BF6E0B" w:rsidP="006C2466">
      <w:pPr>
        <w:jc w:val="center"/>
        <w:rPr>
          <w:rFonts w:ascii="Tahoma" w:hAnsi="Tahoma" w:cs="Tahoma"/>
          <w:sz w:val="18"/>
          <w:szCs w:val="18"/>
        </w:rPr>
      </w:pPr>
      <w:r w:rsidRPr="00A952D3">
        <w:rPr>
          <w:rFonts w:ascii="Tahoma" w:hAnsi="Tahoma" w:cs="Tahoma"/>
          <w:sz w:val="18"/>
          <w:szCs w:val="18"/>
        </w:rPr>
        <w:t>CAPÍTULO IV</w:t>
      </w:r>
    </w:p>
    <w:p w:rsidR="00BF6E0B" w:rsidRPr="00A952D3" w:rsidRDefault="00BF6E0B" w:rsidP="006C2466">
      <w:pPr>
        <w:jc w:val="center"/>
        <w:rPr>
          <w:rFonts w:ascii="Tahoma" w:hAnsi="Tahoma" w:cs="Tahoma"/>
          <w:sz w:val="18"/>
          <w:szCs w:val="18"/>
        </w:rPr>
      </w:pPr>
      <w:r w:rsidRPr="00A952D3">
        <w:rPr>
          <w:rFonts w:ascii="Tahoma" w:hAnsi="Tahoma" w:cs="Tahoma"/>
          <w:sz w:val="18"/>
          <w:szCs w:val="18"/>
        </w:rPr>
        <w:t>DA COMISSÃO DE MONITORAMENTO E AVALIAÇÃO</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Art. 13.   A Comissão de Monitoramento e Avaliação é a instância administrativa colegiada responsável por:</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I - monitorar o conjunto de parcerias;</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II – apresentar proposta de aprimoramento dos procedimentos;</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III - padronizar objetos, custos e indicadores e pela produção de entendimentos voltados à priorização do controle de resultados, sendo de sua competência a avaliação; e</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IV - homologar dos relatórios técnicos de monitoramento e avaliação.</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 1º A administração pública municipal designará, por portaria, os integrantes da Comissão de Monitoramento e Avaliação, a ser constituída por três membros, pelo menos dois servidores ocupantes de cargo efetivo ou emprego permanente do quadro de pessoal.</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 2º A Comissão de Monitoramento e Avaliação poderá solicitar assessoramento técnico de especialista que não seja membro desse colegiado para subsidiar seus trabalhos, especialmente quando a parceria envolver programas ou políticas públicas setoriais.</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 xml:space="preserve">§ 3º A Comissão de Monitoramento e Avaliação se reunirá periodicamente a fim de avaliar a execução das parcerias por meio da análise das ações previstas nos </w:t>
      </w:r>
      <w:proofErr w:type="spellStart"/>
      <w:r w:rsidRPr="00A952D3">
        <w:rPr>
          <w:rFonts w:ascii="Tahoma" w:hAnsi="Tahoma" w:cs="Tahoma"/>
          <w:sz w:val="18"/>
          <w:szCs w:val="18"/>
        </w:rPr>
        <w:t>arts</w:t>
      </w:r>
      <w:proofErr w:type="spellEnd"/>
      <w:r w:rsidRPr="00A952D3">
        <w:rPr>
          <w:rFonts w:ascii="Tahoma" w:hAnsi="Tahoma" w:cs="Tahoma"/>
          <w:sz w:val="18"/>
          <w:szCs w:val="18"/>
        </w:rPr>
        <w:t xml:space="preserve">. </w:t>
      </w:r>
      <w:proofErr w:type="gramStart"/>
      <w:r w:rsidRPr="00A952D3">
        <w:rPr>
          <w:rFonts w:ascii="Tahoma" w:hAnsi="Tahoma" w:cs="Tahoma"/>
          <w:sz w:val="18"/>
          <w:szCs w:val="18"/>
        </w:rPr>
        <w:t>51 a 53 do Decreto Federal nº</w:t>
      </w:r>
      <w:proofErr w:type="gramEnd"/>
      <w:r w:rsidRPr="00A952D3">
        <w:rPr>
          <w:rFonts w:ascii="Tahoma" w:hAnsi="Tahoma" w:cs="Tahoma"/>
          <w:sz w:val="18"/>
          <w:szCs w:val="18"/>
        </w:rPr>
        <w:t xml:space="preserve"> 8.726, de 2016.</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 4º O monitoramento e a avaliação de parceria executada com recursos de fundo específico poderão ser realizados pela Comissão Municipal com atuação temática na respectiva área- fim.</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Art. 14. O membro da Comissão de Monitoramento e Avaliação deverá se declarar impedido de participar do monitoramento e da avaliação da parceria quando verificar que tenha participado, nos últimos cinco anos, como associado, cooperado, dirigente, conselheiro ou empregado da organização da sociedade civil ou que tenha participado da Comissão de Seleção e de Julgamento.</w:t>
      </w:r>
    </w:p>
    <w:p w:rsidR="00BF6E0B" w:rsidRPr="00A952D3" w:rsidRDefault="00BF6E0B" w:rsidP="006C2466">
      <w:pPr>
        <w:jc w:val="center"/>
        <w:rPr>
          <w:rFonts w:ascii="Tahoma" w:hAnsi="Tahoma" w:cs="Tahoma"/>
          <w:sz w:val="18"/>
          <w:szCs w:val="18"/>
        </w:rPr>
      </w:pPr>
      <w:r w:rsidRPr="00A952D3">
        <w:rPr>
          <w:rFonts w:ascii="Tahoma" w:hAnsi="Tahoma" w:cs="Tahoma"/>
          <w:sz w:val="18"/>
          <w:szCs w:val="18"/>
        </w:rPr>
        <w:t>CAPÍTULO V</w:t>
      </w:r>
    </w:p>
    <w:p w:rsidR="00BF6E0B" w:rsidRPr="00A952D3" w:rsidRDefault="00BF6E0B" w:rsidP="006C2466">
      <w:pPr>
        <w:jc w:val="center"/>
        <w:rPr>
          <w:rFonts w:ascii="Tahoma" w:hAnsi="Tahoma" w:cs="Tahoma"/>
          <w:sz w:val="18"/>
          <w:szCs w:val="18"/>
        </w:rPr>
      </w:pPr>
      <w:r w:rsidRPr="00A952D3">
        <w:rPr>
          <w:rFonts w:ascii="Tahoma" w:hAnsi="Tahoma" w:cs="Tahoma"/>
          <w:sz w:val="18"/>
          <w:szCs w:val="18"/>
        </w:rPr>
        <w:t>DAS DISPOSIÇÕES FINAIS</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Art. 15. Para os processos administrativos das parcerias formalizadas nos termos deste</w:t>
      </w:r>
      <w:proofErr w:type="gramStart"/>
      <w:r w:rsidR="00A952D3">
        <w:rPr>
          <w:rFonts w:ascii="Tahoma" w:hAnsi="Tahoma" w:cs="Tahoma"/>
          <w:sz w:val="18"/>
          <w:szCs w:val="18"/>
        </w:rPr>
        <w:t xml:space="preserve"> </w:t>
      </w:r>
      <w:r w:rsidR="00F34CCE">
        <w:rPr>
          <w:rFonts w:ascii="Tahoma" w:hAnsi="Tahoma" w:cs="Tahoma"/>
          <w:sz w:val="18"/>
          <w:szCs w:val="18"/>
        </w:rPr>
        <w:t xml:space="preserve"> </w:t>
      </w:r>
      <w:proofErr w:type="gramEnd"/>
      <w:r w:rsidRPr="00A952D3">
        <w:rPr>
          <w:rFonts w:ascii="Tahoma" w:hAnsi="Tahoma" w:cs="Tahoma"/>
          <w:sz w:val="18"/>
          <w:szCs w:val="18"/>
        </w:rPr>
        <w:t>Decreto será observado, subsidiariamente, o que dispõe a Lei da União nº 9.784, de 29 de janeiro de1999.</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 xml:space="preserve">Parágrafo único. </w:t>
      </w:r>
      <w:proofErr w:type="gramStart"/>
      <w:r w:rsidRPr="00A952D3">
        <w:rPr>
          <w:rFonts w:ascii="Tahoma" w:hAnsi="Tahoma" w:cs="Tahoma"/>
          <w:sz w:val="18"/>
          <w:szCs w:val="18"/>
        </w:rPr>
        <w:t>A juízo</w:t>
      </w:r>
      <w:proofErr w:type="gramEnd"/>
      <w:r w:rsidRPr="00A952D3">
        <w:rPr>
          <w:rFonts w:ascii="Tahoma" w:hAnsi="Tahoma" w:cs="Tahoma"/>
          <w:sz w:val="18"/>
          <w:szCs w:val="18"/>
        </w:rPr>
        <w:t xml:space="preserve"> da administração pública municipal e a pedido da organização da sociedade civil, poderá ser realizada audiência para esclarecimento necessário à instrução do processo.</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Art. 16. Não constituem parceria, para fins do disposto neste Decreto:</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 xml:space="preserve">I - os patrocínios, apoio financeiro e </w:t>
      </w:r>
      <w:proofErr w:type="gramStart"/>
      <w:r w:rsidRPr="00A952D3">
        <w:rPr>
          <w:rFonts w:ascii="Tahoma" w:hAnsi="Tahoma" w:cs="Tahoma"/>
          <w:sz w:val="18"/>
          <w:szCs w:val="18"/>
        </w:rPr>
        <w:t>contribuições concedidos</w:t>
      </w:r>
      <w:proofErr w:type="gramEnd"/>
      <w:r w:rsidRPr="00A952D3">
        <w:rPr>
          <w:rFonts w:ascii="Tahoma" w:hAnsi="Tahoma" w:cs="Tahoma"/>
          <w:sz w:val="18"/>
          <w:szCs w:val="18"/>
        </w:rPr>
        <w:t xml:space="preserve"> a atividades e/ou projetos a qualquer pessoa física ou jurídica, nos termos da LC nº 101, art. 26;</w:t>
      </w:r>
    </w:p>
    <w:p w:rsidR="00BF6E0B" w:rsidRPr="00A952D3" w:rsidRDefault="00BF6E0B" w:rsidP="006C2466">
      <w:pPr>
        <w:ind w:left="708"/>
        <w:jc w:val="both"/>
        <w:rPr>
          <w:rFonts w:ascii="Tahoma" w:hAnsi="Tahoma" w:cs="Tahoma"/>
          <w:sz w:val="18"/>
          <w:szCs w:val="18"/>
        </w:rPr>
      </w:pPr>
      <w:r w:rsidRPr="00A952D3">
        <w:rPr>
          <w:rFonts w:ascii="Tahoma" w:hAnsi="Tahoma" w:cs="Tahoma"/>
          <w:sz w:val="18"/>
          <w:szCs w:val="18"/>
        </w:rPr>
        <w:t>II – subvenções sociais para entidades de que trata a Lei nº 13.019, art. 3º, IV; III – subvenções econômicas;</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lastRenderedPageBreak/>
        <w:t>Art. 17. No âmbito da administração pública municipal, a prévia tentativa de conciliação e solução administrativa de dúvidas de natureza eminentemente jurídica, relacionada à execução da parceria, prevista no inciso XVII do caput do art. 42 da Lei Federal nº 13.019, de 2014, caberá à Procuradoria do Município.</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 xml:space="preserve">§ 1º Antes de promover a tentativa de conciliação e solução administrativa, o órgão jurídico deverá consultar </w:t>
      </w:r>
      <w:r w:rsidR="00966221">
        <w:rPr>
          <w:rFonts w:ascii="Tahoma" w:hAnsi="Tahoma" w:cs="Tahoma"/>
          <w:sz w:val="18"/>
          <w:szCs w:val="18"/>
        </w:rPr>
        <w:t>o</w:t>
      </w:r>
      <w:r w:rsidRPr="00A952D3">
        <w:rPr>
          <w:rFonts w:ascii="Tahoma" w:hAnsi="Tahoma" w:cs="Tahoma"/>
          <w:sz w:val="18"/>
          <w:szCs w:val="18"/>
        </w:rPr>
        <w:t xml:space="preserve"> </w:t>
      </w:r>
      <w:r w:rsidR="00966221">
        <w:rPr>
          <w:rFonts w:ascii="Tahoma" w:hAnsi="Tahoma" w:cs="Tahoma"/>
          <w:sz w:val="18"/>
          <w:szCs w:val="18"/>
        </w:rPr>
        <w:t>controlador interno do município</w:t>
      </w:r>
      <w:r w:rsidR="00966221" w:rsidRPr="00966221">
        <w:rPr>
          <w:rFonts w:ascii="Tahoma" w:hAnsi="Tahoma" w:cs="Tahoma"/>
          <w:color w:val="0D0D0D" w:themeColor="text1" w:themeTint="F2"/>
          <w:sz w:val="18"/>
          <w:szCs w:val="18"/>
        </w:rPr>
        <w:t>,</w:t>
      </w:r>
      <w:r w:rsidRPr="00A952D3">
        <w:rPr>
          <w:rFonts w:ascii="Tahoma" w:hAnsi="Tahoma" w:cs="Tahoma"/>
          <w:sz w:val="18"/>
          <w:szCs w:val="18"/>
        </w:rPr>
        <w:t xml:space="preserve"> quanto à existência de processo de apuração de irregularidade concernente ao objeto da parceria.</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 2º É assegurada a prerrogativa de a organização da sociedade civil se fazer representar por advogado perante a administração pública municipal, especialmente em procedimento voltado à conciliação e à solução administrativa de dúvidas decorrentes da execução da parceria.</w:t>
      </w:r>
    </w:p>
    <w:p w:rsidR="00BF6E0B" w:rsidRPr="00A952D3" w:rsidRDefault="00BF6E0B" w:rsidP="006C2466">
      <w:pPr>
        <w:ind w:firstLine="708"/>
        <w:jc w:val="both"/>
        <w:rPr>
          <w:rFonts w:ascii="Tahoma" w:hAnsi="Tahoma" w:cs="Tahoma"/>
          <w:sz w:val="18"/>
          <w:szCs w:val="18"/>
        </w:rPr>
      </w:pPr>
      <w:r w:rsidRPr="00A952D3">
        <w:rPr>
          <w:rFonts w:ascii="Tahoma" w:hAnsi="Tahoma" w:cs="Tahoma"/>
          <w:sz w:val="18"/>
          <w:szCs w:val="18"/>
        </w:rPr>
        <w:t>Art. 18. A administração pública municipal fará reuniões públicas com as organizações da sociedade civil, a fim de orientá-las quanto à Lei Federal nº 13.019, de 2014</w:t>
      </w:r>
      <w:r w:rsidR="00CC1604">
        <w:rPr>
          <w:rFonts w:ascii="Tahoma" w:hAnsi="Tahoma" w:cs="Tahoma"/>
          <w:sz w:val="18"/>
          <w:szCs w:val="18"/>
        </w:rPr>
        <w:t xml:space="preserve"> e suas alterações posteriores</w:t>
      </w:r>
      <w:r w:rsidRPr="00A952D3">
        <w:rPr>
          <w:rFonts w:ascii="Tahoma" w:hAnsi="Tahoma" w:cs="Tahoma"/>
          <w:sz w:val="18"/>
          <w:szCs w:val="18"/>
        </w:rPr>
        <w:t>, bem como sobre a aplicação deste Decreto.</w:t>
      </w:r>
    </w:p>
    <w:p w:rsidR="006C2466" w:rsidRPr="00A952D3" w:rsidRDefault="00BF6E0B" w:rsidP="006C2466">
      <w:pPr>
        <w:ind w:firstLine="708"/>
        <w:rPr>
          <w:rFonts w:ascii="Tahoma" w:hAnsi="Tahoma" w:cs="Tahoma"/>
          <w:sz w:val="18"/>
          <w:szCs w:val="18"/>
        </w:rPr>
      </w:pPr>
      <w:r w:rsidRPr="00A952D3">
        <w:rPr>
          <w:rFonts w:ascii="Tahoma" w:hAnsi="Tahoma" w:cs="Tahoma"/>
          <w:sz w:val="18"/>
          <w:szCs w:val="18"/>
        </w:rPr>
        <w:t xml:space="preserve">Art. </w:t>
      </w:r>
      <w:r w:rsidR="006C2466" w:rsidRPr="00A952D3">
        <w:rPr>
          <w:rFonts w:ascii="Tahoma" w:hAnsi="Tahoma" w:cs="Tahoma"/>
          <w:sz w:val="18"/>
          <w:szCs w:val="18"/>
        </w:rPr>
        <w:t>19</w:t>
      </w:r>
      <w:r w:rsidRPr="00A952D3">
        <w:rPr>
          <w:rFonts w:ascii="Tahoma" w:hAnsi="Tahoma" w:cs="Tahoma"/>
          <w:sz w:val="18"/>
          <w:szCs w:val="18"/>
        </w:rPr>
        <w:t>. Este Decreto entra em vigor na data da sua publicação.</w:t>
      </w:r>
    </w:p>
    <w:p w:rsidR="00A952D3" w:rsidRPr="00A952D3" w:rsidRDefault="00A952D3" w:rsidP="00A952D3">
      <w:pPr>
        <w:pStyle w:val="Ttulo1"/>
        <w:rPr>
          <w:rFonts w:ascii="Tahoma" w:hAnsi="Tahoma" w:cs="Tahoma"/>
          <w:sz w:val="18"/>
          <w:szCs w:val="18"/>
        </w:rPr>
      </w:pPr>
      <w:r w:rsidRPr="00A952D3">
        <w:rPr>
          <w:rFonts w:ascii="Tahoma" w:hAnsi="Tahoma" w:cs="Tahoma"/>
          <w:sz w:val="18"/>
          <w:szCs w:val="18"/>
        </w:rPr>
        <w:t>PAÇO MUNICIPAL “29 DE ABRIL”</w:t>
      </w:r>
    </w:p>
    <w:p w:rsidR="00A952D3" w:rsidRPr="00A952D3" w:rsidRDefault="00A952D3" w:rsidP="00A952D3">
      <w:pPr>
        <w:jc w:val="center"/>
        <w:rPr>
          <w:rFonts w:ascii="Tahoma" w:hAnsi="Tahoma" w:cs="Tahoma"/>
          <w:sz w:val="18"/>
          <w:szCs w:val="18"/>
        </w:rPr>
      </w:pPr>
      <w:r w:rsidRPr="00A952D3">
        <w:rPr>
          <w:rFonts w:ascii="Tahoma" w:hAnsi="Tahoma" w:cs="Tahoma"/>
          <w:sz w:val="18"/>
          <w:szCs w:val="18"/>
        </w:rPr>
        <w:t xml:space="preserve">Quarto Centenário, </w:t>
      </w:r>
      <w:r w:rsidR="00966221">
        <w:rPr>
          <w:rFonts w:ascii="Tahoma" w:hAnsi="Tahoma" w:cs="Tahoma"/>
          <w:sz w:val="18"/>
          <w:szCs w:val="18"/>
        </w:rPr>
        <w:t>20</w:t>
      </w:r>
      <w:r w:rsidRPr="00A952D3">
        <w:rPr>
          <w:rFonts w:ascii="Tahoma" w:hAnsi="Tahoma" w:cs="Tahoma"/>
          <w:sz w:val="18"/>
          <w:szCs w:val="18"/>
        </w:rPr>
        <w:t xml:space="preserve"> de abril de 2017.</w:t>
      </w:r>
    </w:p>
    <w:p w:rsidR="00A952D3" w:rsidRDefault="00A952D3" w:rsidP="00A952D3">
      <w:pPr>
        <w:jc w:val="center"/>
        <w:rPr>
          <w:rFonts w:ascii="Tahoma" w:hAnsi="Tahoma" w:cs="Tahoma"/>
          <w:sz w:val="18"/>
          <w:szCs w:val="18"/>
        </w:rPr>
      </w:pPr>
    </w:p>
    <w:p w:rsidR="00CC1604" w:rsidRPr="00A952D3" w:rsidRDefault="00CC1604" w:rsidP="00A952D3">
      <w:pPr>
        <w:jc w:val="center"/>
        <w:rPr>
          <w:rFonts w:ascii="Tahoma" w:hAnsi="Tahoma" w:cs="Tahoma"/>
          <w:sz w:val="18"/>
          <w:szCs w:val="18"/>
        </w:rPr>
      </w:pPr>
    </w:p>
    <w:p w:rsidR="00A952D3" w:rsidRPr="00A952D3" w:rsidRDefault="00A952D3" w:rsidP="00A952D3">
      <w:pPr>
        <w:spacing w:line="240" w:lineRule="auto"/>
        <w:ind w:left="709" w:hanging="709"/>
        <w:jc w:val="center"/>
        <w:rPr>
          <w:rFonts w:ascii="Tahoma" w:hAnsi="Tahoma" w:cs="Tahoma"/>
          <w:b/>
          <w:sz w:val="18"/>
          <w:szCs w:val="18"/>
        </w:rPr>
      </w:pPr>
      <w:r w:rsidRPr="00A952D3">
        <w:rPr>
          <w:rFonts w:ascii="Tahoma" w:hAnsi="Tahoma" w:cs="Tahoma"/>
          <w:b/>
          <w:sz w:val="18"/>
          <w:szCs w:val="18"/>
        </w:rPr>
        <w:t>REINALDO KRACHINSKI</w:t>
      </w:r>
    </w:p>
    <w:p w:rsidR="00A952D3" w:rsidRPr="00A952D3" w:rsidRDefault="00A952D3" w:rsidP="00A952D3">
      <w:pPr>
        <w:spacing w:line="240" w:lineRule="auto"/>
        <w:ind w:left="709" w:hanging="709"/>
        <w:jc w:val="center"/>
        <w:rPr>
          <w:rFonts w:ascii="Tahoma" w:hAnsi="Tahoma" w:cs="Tahoma"/>
          <w:sz w:val="18"/>
          <w:szCs w:val="18"/>
        </w:rPr>
      </w:pPr>
      <w:r w:rsidRPr="00A952D3">
        <w:rPr>
          <w:rFonts w:ascii="Tahoma" w:hAnsi="Tahoma" w:cs="Tahoma"/>
          <w:sz w:val="18"/>
          <w:szCs w:val="18"/>
        </w:rPr>
        <w:t>Prefeito Municipal</w:t>
      </w:r>
    </w:p>
    <w:p w:rsidR="00327FC6" w:rsidRPr="00A952D3" w:rsidRDefault="00327FC6" w:rsidP="006C2466">
      <w:pPr>
        <w:ind w:firstLine="708"/>
        <w:rPr>
          <w:rFonts w:ascii="Tahoma" w:hAnsi="Tahoma" w:cs="Tahoma"/>
          <w:sz w:val="18"/>
          <w:szCs w:val="18"/>
        </w:rPr>
      </w:pPr>
    </w:p>
    <w:sectPr w:rsidR="00327FC6" w:rsidRPr="00A952D3" w:rsidSect="00A952D3">
      <w:headerReference w:type="default" r:id="rId6"/>
      <w:footerReference w:type="default" r:id="rId7"/>
      <w:pgSz w:w="11906" w:h="16838"/>
      <w:pgMar w:top="882" w:right="1701" w:bottom="1417"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7E7" w:rsidRDefault="000637E7">
      <w:pPr>
        <w:spacing w:after="0" w:line="240" w:lineRule="auto"/>
      </w:pPr>
      <w:r>
        <w:separator/>
      </w:r>
    </w:p>
  </w:endnote>
  <w:endnote w:type="continuationSeparator" w:id="1">
    <w:p w:rsidR="000637E7" w:rsidRDefault="00063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E7" w:rsidRPr="00837E61" w:rsidRDefault="000637E7" w:rsidP="005F77DA">
    <w:pPr>
      <w:pStyle w:val="Rodap"/>
      <w:tabs>
        <w:tab w:val="center" w:pos="-540"/>
        <w:tab w:val="right" w:pos="9720"/>
        <w:tab w:val="right" w:pos="10800"/>
      </w:tabs>
      <w:ind w:left="-1080" w:right="-468"/>
      <w:jc w:val="center"/>
      <w:rPr>
        <w:rFonts w:ascii="Century Gothic" w:hAnsi="Century Gothic" w:cs="Courier New"/>
        <w:b/>
        <w:spacing w:val="20"/>
        <w:sz w:val="20"/>
      </w:rPr>
    </w:pPr>
    <w:r w:rsidRPr="00837E61">
      <w:rPr>
        <w:rFonts w:ascii="Century Gothic" w:hAnsi="Century Gothic" w:cs="Courier New"/>
        <w:b/>
        <w:spacing w:val="20"/>
        <w:sz w:val="20"/>
      </w:rPr>
      <w:t>Av</w:t>
    </w:r>
    <w:r>
      <w:rPr>
        <w:rFonts w:ascii="Century Gothic" w:hAnsi="Century Gothic" w:cs="Courier New"/>
        <w:b/>
        <w:spacing w:val="20"/>
        <w:sz w:val="20"/>
      </w:rPr>
      <w:t>enida</w:t>
    </w:r>
    <w:r w:rsidRPr="00837E61">
      <w:rPr>
        <w:rFonts w:ascii="Century Gothic" w:hAnsi="Century Gothic" w:cs="Courier New"/>
        <w:b/>
        <w:spacing w:val="20"/>
        <w:sz w:val="20"/>
      </w:rPr>
      <w:t xml:space="preserve"> Raposo Tavares, </w:t>
    </w:r>
    <w:r>
      <w:rPr>
        <w:rFonts w:ascii="Century Gothic" w:hAnsi="Century Gothic" w:cs="Courier New"/>
        <w:b/>
        <w:spacing w:val="20"/>
        <w:sz w:val="20"/>
      </w:rPr>
      <w:t>594, Centro</w:t>
    </w:r>
    <w:r w:rsidRPr="00837E61">
      <w:rPr>
        <w:rFonts w:ascii="Century Gothic" w:hAnsi="Century Gothic" w:cs="Courier New"/>
        <w:b/>
        <w:spacing w:val="20"/>
        <w:sz w:val="20"/>
      </w:rPr>
      <w:t xml:space="preserve"> – C</w:t>
    </w:r>
    <w:r>
      <w:rPr>
        <w:rFonts w:ascii="Century Gothic" w:hAnsi="Century Gothic" w:cs="Courier New"/>
        <w:b/>
        <w:spacing w:val="20"/>
        <w:sz w:val="20"/>
      </w:rPr>
      <w:t>EP</w:t>
    </w:r>
    <w:r w:rsidRPr="00837E61">
      <w:rPr>
        <w:rFonts w:ascii="Century Gothic" w:hAnsi="Century Gothic" w:cs="Courier New"/>
        <w:b/>
        <w:spacing w:val="20"/>
        <w:sz w:val="20"/>
      </w:rPr>
      <w:t xml:space="preserve">: 87.365-000 – </w:t>
    </w:r>
    <w:r>
      <w:rPr>
        <w:rFonts w:ascii="Century Gothic" w:hAnsi="Century Gothic" w:cs="Courier New"/>
        <w:b/>
        <w:spacing w:val="20"/>
        <w:sz w:val="20"/>
      </w:rPr>
      <w:t xml:space="preserve">Tel. </w:t>
    </w:r>
    <w:r w:rsidRPr="00837E61">
      <w:rPr>
        <w:rFonts w:ascii="Century Gothic" w:hAnsi="Century Gothic" w:cs="Courier New"/>
        <w:b/>
        <w:spacing w:val="20"/>
        <w:sz w:val="20"/>
      </w:rPr>
      <w:t>(44) 3546-</w:t>
    </w:r>
    <w:r>
      <w:rPr>
        <w:rFonts w:ascii="Century Gothic" w:hAnsi="Century Gothic" w:cs="Courier New"/>
        <w:b/>
        <w:spacing w:val="20"/>
        <w:sz w:val="20"/>
      </w:rPr>
      <w:t>1109</w:t>
    </w:r>
  </w:p>
  <w:p w:rsidR="000637E7" w:rsidRDefault="000637E7" w:rsidP="005F77DA">
    <w:pPr>
      <w:pStyle w:val="Rodap"/>
      <w:tabs>
        <w:tab w:val="right" w:pos="10800"/>
      </w:tabs>
      <w:ind w:left="-720" w:hanging="180"/>
      <w:jc w:val="center"/>
      <w:rPr>
        <w:rFonts w:ascii="Century Gothic" w:hAnsi="Century Gothic"/>
        <w:sz w:val="21"/>
        <w:szCs w:val="21"/>
      </w:rPr>
    </w:pPr>
    <w:r>
      <w:rPr>
        <w:rFonts w:ascii="Century Gothic" w:hAnsi="Century Gothic"/>
        <w:sz w:val="21"/>
        <w:szCs w:val="21"/>
      </w:rPr>
      <w:t xml:space="preserve">     </w:t>
    </w:r>
    <w:r w:rsidRPr="00343670">
      <w:rPr>
        <w:rFonts w:ascii="Century Gothic" w:hAnsi="Century Gothic"/>
        <w:sz w:val="21"/>
        <w:szCs w:val="21"/>
      </w:rPr>
      <w:t xml:space="preserve">www.quartocentenario.pr.gov.br                   </w:t>
    </w:r>
    <w:r w:rsidRPr="00381C0A">
      <w:rPr>
        <w:rStyle w:val="Nmerodepgina"/>
        <w:rFonts w:ascii="Arial" w:hAnsi="Arial" w:cs="Arial"/>
        <w:sz w:val="14"/>
        <w:szCs w:val="14"/>
      </w:rPr>
      <w:fldChar w:fldCharType="begin"/>
    </w:r>
    <w:r w:rsidRPr="00381C0A">
      <w:rPr>
        <w:rStyle w:val="Nmerodepgina"/>
        <w:rFonts w:ascii="Arial" w:hAnsi="Arial" w:cs="Arial"/>
        <w:sz w:val="14"/>
        <w:szCs w:val="14"/>
      </w:rPr>
      <w:instrText xml:space="preserve"> PAGE </w:instrText>
    </w:r>
    <w:r w:rsidRPr="00381C0A">
      <w:rPr>
        <w:rStyle w:val="Nmerodepgina"/>
        <w:rFonts w:ascii="Arial" w:hAnsi="Arial" w:cs="Arial"/>
        <w:sz w:val="14"/>
        <w:szCs w:val="14"/>
      </w:rPr>
      <w:fldChar w:fldCharType="separate"/>
    </w:r>
    <w:r w:rsidR="00912D15">
      <w:rPr>
        <w:rStyle w:val="Nmerodepgina"/>
        <w:rFonts w:ascii="Arial" w:hAnsi="Arial" w:cs="Arial"/>
        <w:noProof/>
        <w:sz w:val="14"/>
        <w:szCs w:val="14"/>
      </w:rPr>
      <w:t>6</w:t>
    </w:r>
    <w:r w:rsidRPr="00381C0A">
      <w:rPr>
        <w:rStyle w:val="Nmerodepgina"/>
        <w:rFonts w:ascii="Arial" w:hAnsi="Arial" w:cs="Arial"/>
        <w:sz w:val="14"/>
        <w:szCs w:val="14"/>
      </w:rPr>
      <w:fldChar w:fldCharType="end"/>
    </w:r>
    <w:r w:rsidRPr="00343670">
      <w:rPr>
        <w:rFonts w:ascii="Century Gothic" w:hAnsi="Century Gothic"/>
        <w:sz w:val="21"/>
        <w:szCs w:val="21"/>
      </w:rPr>
      <w:t xml:space="preserve">           </w:t>
    </w:r>
    <w:r>
      <w:rPr>
        <w:rFonts w:ascii="Century Gothic" w:hAnsi="Century Gothic"/>
        <w:sz w:val="21"/>
        <w:szCs w:val="21"/>
      </w:rPr>
      <w:t xml:space="preserve"> </w:t>
    </w:r>
    <w:r w:rsidRPr="00343670">
      <w:rPr>
        <w:rFonts w:ascii="Century Gothic" w:hAnsi="Century Gothic"/>
        <w:sz w:val="21"/>
        <w:szCs w:val="21"/>
      </w:rPr>
      <w:t xml:space="preserve">     </w:t>
    </w:r>
    <w:r>
      <w:rPr>
        <w:rFonts w:ascii="Century Gothic" w:hAnsi="Century Gothic"/>
        <w:sz w:val="21"/>
        <w:szCs w:val="21"/>
      </w:rPr>
      <w:t xml:space="preserve"> </w:t>
    </w:r>
    <w:r w:rsidRPr="00343670">
      <w:rPr>
        <w:rFonts w:ascii="Century Gothic" w:hAnsi="Century Gothic"/>
        <w:sz w:val="21"/>
        <w:szCs w:val="21"/>
      </w:rPr>
      <w:t xml:space="preserve"> pm@quartocentenario.pr.gov.br</w:t>
    </w:r>
  </w:p>
  <w:p w:rsidR="000637E7" w:rsidRDefault="000637E7">
    <w:pPr>
      <w:widowControl w:val="0"/>
      <w:autoSpaceDE w:val="0"/>
      <w:autoSpaceDN w:val="0"/>
      <w:adjustRightInd w:val="0"/>
      <w:spacing w:after="0" w:line="200" w:lineRule="exact"/>
      <w:rPr>
        <w:rFonts w:ascii="Times New Roman" w:hAnsi="Times New Roman" w:cs="Times New Roman"/>
        <w:sz w:val="20"/>
        <w:szCs w:val="20"/>
      </w:rPr>
    </w:pPr>
    <w:r w:rsidRPr="005575E9">
      <w:rPr>
        <w:noProof/>
        <w:lang w:eastAsia="pt-BR"/>
      </w:rPr>
      <w:pict>
        <v:shapetype id="_x0000_t202" coordsize="21600,21600" o:spt="202" path="m,l,21600r21600,l21600,xe">
          <v:stroke joinstyle="miter"/>
          <v:path gradientshapeok="t" o:connecttype="rect"/>
        </v:shapetype>
        <v:shape id="Caixa de texto 4" o:spid="_x0000_s6145" type="#_x0000_t202" style="position:absolute;margin-left:524.45pt;margin-top:793.4pt;width:16.2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" o:allowincell="f" filled="f" stroked="f">
          <v:textbox inset="0,0,0,0">
            <w:txbxContent>
              <w:p w:rsidR="000637E7" w:rsidRDefault="000637E7">
                <w:pPr>
                  <w:widowControl w:val="0"/>
                  <w:autoSpaceDE w:val="0"/>
                  <w:autoSpaceDN w:val="0"/>
                  <w:adjustRightInd w:val="0"/>
                  <w:spacing w:after="0" w:line="264" w:lineRule="exact"/>
                  <w:ind w:left="40" w:right="-20"/>
                  <w:rPr>
                    <w:rFonts w:ascii="Calibri" w:hAnsi="Calibri" w:cs="Calibri"/>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7E7" w:rsidRDefault="000637E7">
      <w:pPr>
        <w:spacing w:after="0" w:line="240" w:lineRule="auto"/>
      </w:pPr>
      <w:r>
        <w:separator/>
      </w:r>
    </w:p>
  </w:footnote>
  <w:footnote w:type="continuationSeparator" w:id="1">
    <w:p w:rsidR="000637E7" w:rsidRDefault="000637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E7" w:rsidRDefault="000637E7" w:rsidP="005F77DA">
    <w:pPr>
      <w:ind w:left="-180" w:right="-288"/>
      <w:jc w:val="center"/>
      <w:rPr>
        <w:rFonts w:ascii="Century Gothic" w:hAnsi="Century Gothic"/>
        <w:bCs/>
        <w:spacing w:val="32"/>
        <w:sz w:val="44"/>
        <w:szCs w:val="44"/>
      </w:rPr>
    </w:pPr>
    <w:r>
      <w:rPr>
        <w:noProof/>
        <w:lang w:eastAsia="pt-BR"/>
      </w:rPr>
      <w:drawing>
        <wp:anchor distT="0" distB="0" distL="114300" distR="114300" simplePos="0" relativeHeight="251657216" behindDoc="1" locked="0" layoutInCell="1" allowOverlap="1">
          <wp:simplePos x="0" y="0"/>
          <wp:positionH relativeFrom="column">
            <wp:posOffset>2293620</wp:posOffset>
          </wp:positionH>
          <wp:positionV relativeFrom="paragraph">
            <wp:posOffset>-10795</wp:posOffset>
          </wp:positionV>
          <wp:extent cx="563880" cy="569595"/>
          <wp:effectExtent l="19050" t="0" r="7620" b="0"/>
          <wp:wrapTight wrapText="bothSides">
            <wp:wrapPolygon edited="0">
              <wp:start x="-730" y="0"/>
              <wp:lineTo x="-730" y="20950"/>
              <wp:lineTo x="21892" y="20950"/>
              <wp:lineTo x="21892" y="0"/>
              <wp:lineTo x="-730" y="0"/>
            </wp:wrapPolygon>
          </wp:wrapTight>
          <wp:docPr id="4" name="Imagem 4"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ão"/>
                  <pic:cNvPicPr>
                    <a:picLocks noChangeAspect="1" noChangeArrowheads="1"/>
                  </pic:cNvPicPr>
                </pic:nvPicPr>
                <pic:blipFill>
                  <a:blip r:embed="rId1"/>
                  <a:srcRect/>
                  <a:stretch>
                    <a:fillRect/>
                  </a:stretch>
                </pic:blipFill>
                <pic:spPr bwMode="auto">
                  <a:xfrm>
                    <a:off x="0" y="0"/>
                    <a:ext cx="563880" cy="569595"/>
                  </a:xfrm>
                  <a:prstGeom prst="rect">
                    <a:avLst/>
                  </a:prstGeom>
                  <a:noFill/>
                  <a:ln w="9525">
                    <a:noFill/>
                    <a:miter lim="800000"/>
                    <a:headEnd/>
                    <a:tailEnd/>
                  </a:ln>
                </pic:spPr>
              </pic:pic>
            </a:graphicData>
          </a:graphic>
        </wp:anchor>
      </w:drawing>
    </w:r>
  </w:p>
  <w:p w:rsidR="000637E7" w:rsidRPr="005F1A3A" w:rsidRDefault="000637E7" w:rsidP="005F77DA">
    <w:pPr>
      <w:spacing w:line="240" w:lineRule="auto"/>
      <w:ind w:left="-181" w:right="-289"/>
      <w:jc w:val="center"/>
      <w:rPr>
        <w:rFonts w:ascii="Century Gothic" w:hAnsi="Century Gothic"/>
        <w:b/>
        <w:bCs/>
        <w:spacing w:val="32"/>
        <w:sz w:val="36"/>
        <w:szCs w:val="36"/>
      </w:rPr>
    </w:pPr>
    <w:r w:rsidRPr="005F1A3A">
      <w:rPr>
        <w:rFonts w:ascii="Century Gothic" w:hAnsi="Century Gothic"/>
        <w:b/>
        <w:bCs/>
        <w:spacing w:val="32"/>
        <w:sz w:val="36"/>
        <w:szCs w:val="36"/>
      </w:rPr>
      <w:t>MUNICÍPIO DE QUARTO CENTENÁRIO</w:t>
    </w:r>
  </w:p>
  <w:p w:rsidR="000637E7" w:rsidRPr="005F1A3A" w:rsidRDefault="000637E7" w:rsidP="005F77DA">
    <w:pPr>
      <w:spacing w:line="240" w:lineRule="auto"/>
      <w:ind w:left="-181" w:right="-289"/>
      <w:jc w:val="center"/>
      <w:rPr>
        <w:rFonts w:ascii="Century Gothic" w:hAnsi="Century Gothic"/>
        <w:b/>
        <w:bCs/>
        <w:sz w:val="24"/>
      </w:rPr>
    </w:pPr>
    <w:r w:rsidRPr="005F1A3A">
      <w:rPr>
        <w:rFonts w:ascii="Century Gothic" w:hAnsi="Century Gothic"/>
        <w:b/>
        <w:bCs/>
        <w:sz w:val="24"/>
      </w:rPr>
      <w:t>ESTADO DO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6147"/>
    <o:shapelayout v:ext="edit">
      <o:idmap v:ext="edit" data="6"/>
    </o:shapelayout>
  </w:hdrShapeDefaults>
  <w:footnotePr>
    <w:footnote w:id="0"/>
    <w:footnote w:id="1"/>
  </w:footnotePr>
  <w:endnotePr>
    <w:endnote w:id="0"/>
    <w:endnote w:id="1"/>
  </w:endnotePr>
  <w:compat/>
  <w:rsids>
    <w:rsidRoot w:val="00BF6E0B"/>
    <w:rsid w:val="0000276F"/>
    <w:rsid w:val="000041E5"/>
    <w:rsid w:val="0000529E"/>
    <w:rsid w:val="00006C7C"/>
    <w:rsid w:val="00006DF9"/>
    <w:rsid w:val="00006F2B"/>
    <w:rsid w:val="00007786"/>
    <w:rsid w:val="00013A6C"/>
    <w:rsid w:val="00014906"/>
    <w:rsid w:val="00017D1E"/>
    <w:rsid w:val="00020401"/>
    <w:rsid w:val="00025E65"/>
    <w:rsid w:val="0002699C"/>
    <w:rsid w:val="00026EBB"/>
    <w:rsid w:val="00031381"/>
    <w:rsid w:val="000313AA"/>
    <w:rsid w:val="00033C32"/>
    <w:rsid w:val="00040860"/>
    <w:rsid w:val="0004155E"/>
    <w:rsid w:val="000439D0"/>
    <w:rsid w:val="00044EF2"/>
    <w:rsid w:val="0004632A"/>
    <w:rsid w:val="00047705"/>
    <w:rsid w:val="00047A35"/>
    <w:rsid w:val="00050145"/>
    <w:rsid w:val="00050F70"/>
    <w:rsid w:val="00051960"/>
    <w:rsid w:val="000521C9"/>
    <w:rsid w:val="0005221E"/>
    <w:rsid w:val="000555E9"/>
    <w:rsid w:val="00055614"/>
    <w:rsid w:val="00055D66"/>
    <w:rsid w:val="000566C6"/>
    <w:rsid w:val="000567FC"/>
    <w:rsid w:val="00056A1E"/>
    <w:rsid w:val="000571AA"/>
    <w:rsid w:val="00057CFC"/>
    <w:rsid w:val="00062C69"/>
    <w:rsid w:val="000637E7"/>
    <w:rsid w:val="00067A78"/>
    <w:rsid w:val="0007211A"/>
    <w:rsid w:val="00072923"/>
    <w:rsid w:val="00072E1F"/>
    <w:rsid w:val="000730A9"/>
    <w:rsid w:val="00074A79"/>
    <w:rsid w:val="00074E06"/>
    <w:rsid w:val="000754B7"/>
    <w:rsid w:val="00076143"/>
    <w:rsid w:val="00076DCA"/>
    <w:rsid w:val="000828B3"/>
    <w:rsid w:val="00083A7A"/>
    <w:rsid w:val="000918A1"/>
    <w:rsid w:val="00092C1D"/>
    <w:rsid w:val="00092D47"/>
    <w:rsid w:val="000934DB"/>
    <w:rsid w:val="000941E9"/>
    <w:rsid w:val="0009421F"/>
    <w:rsid w:val="000958BC"/>
    <w:rsid w:val="000958E2"/>
    <w:rsid w:val="00097186"/>
    <w:rsid w:val="000977EE"/>
    <w:rsid w:val="00097C61"/>
    <w:rsid w:val="000A1DAC"/>
    <w:rsid w:val="000A1E5E"/>
    <w:rsid w:val="000A3548"/>
    <w:rsid w:val="000A4CF5"/>
    <w:rsid w:val="000A6521"/>
    <w:rsid w:val="000B3E08"/>
    <w:rsid w:val="000B58EC"/>
    <w:rsid w:val="000C077A"/>
    <w:rsid w:val="000C0966"/>
    <w:rsid w:val="000C232C"/>
    <w:rsid w:val="000C2924"/>
    <w:rsid w:val="000C306F"/>
    <w:rsid w:val="000C34D7"/>
    <w:rsid w:val="000C592A"/>
    <w:rsid w:val="000C6E3A"/>
    <w:rsid w:val="000D21BC"/>
    <w:rsid w:val="000D42A2"/>
    <w:rsid w:val="000D4417"/>
    <w:rsid w:val="000D4463"/>
    <w:rsid w:val="000D65E8"/>
    <w:rsid w:val="000D75B4"/>
    <w:rsid w:val="000E12E2"/>
    <w:rsid w:val="000E412B"/>
    <w:rsid w:val="000E4DF6"/>
    <w:rsid w:val="000E553F"/>
    <w:rsid w:val="000E768B"/>
    <w:rsid w:val="000F0B7F"/>
    <w:rsid w:val="000F18E2"/>
    <w:rsid w:val="000F4C1B"/>
    <w:rsid w:val="000F5B2C"/>
    <w:rsid w:val="000F62E5"/>
    <w:rsid w:val="001005DF"/>
    <w:rsid w:val="00103F01"/>
    <w:rsid w:val="00106B6B"/>
    <w:rsid w:val="00110981"/>
    <w:rsid w:val="00110EE6"/>
    <w:rsid w:val="00110F5A"/>
    <w:rsid w:val="00112A29"/>
    <w:rsid w:val="00114A18"/>
    <w:rsid w:val="001150D8"/>
    <w:rsid w:val="00117D9C"/>
    <w:rsid w:val="00124B13"/>
    <w:rsid w:val="001253A6"/>
    <w:rsid w:val="0012603B"/>
    <w:rsid w:val="00127842"/>
    <w:rsid w:val="0013169E"/>
    <w:rsid w:val="0013568A"/>
    <w:rsid w:val="00136F1C"/>
    <w:rsid w:val="00137309"/>
    <w:rsid w:val="001408AE"/>
    <w:rsid w:val="00140B21"/>
    <w:rsid w:val="00143247"/>
    <w:rsid w:val="00144001"/>
    <w:rsid w:val="00146ED8"/>
    <w:rsid w:val="001475AE"/>
    <w:rsid w:val="001476F4"/>
    <w:rsid w:val="00151F3A"/>
    <w:rsid w:val="001520B6"/>
    <w:rsid w:val="001557F5"/>
    <w:rsid w:val="00155E6D"/>
    <w:rsid w:val="001569FF"/>
    <w:rsid w:val="00157583"/>
    <w:rsid w:val="0016034D"/>
    <w:rsid w:val="0016142E"/>
    <w:rsid w:val="00162B49"/>
    <w:rsid w:val="00162D6A"/>
    <w:rsid w:val="00163098"/>
    <w:rsid w:val="00164FD0"/>
    <w:rsid w:val="001667E2"/>
    <w:rsid w:val="00167EEA"/>
    <w:rsid w:val="00173B79"/>
    <w:rsid w:val="00173E89"/>
    <w:rsid w:val="00174BEA"/>
    <w:rsid w:val="00177809"/>
    <w:rsid w:val="00177DE5"/>
    <w:rsid w:val="00183B38"/>
    <w:rsid w:val="00184075"/>
    <w:rsid w:val="00184781"/>
    <w:rsid w:val="001858C5"/>
    <w:rsid w:val="00187142"/>
    <w:rsid w:val="00187D19"/>
    <w:rsid w:val="00190710"/>
    <w:rsid w:val="00191B79"/>
    <w:rsid w:val="00193113"/>
    <w:rsid w:val="00194CCB"/>
    <w:rsid w:val="001A349E"/>
    <w:rsid w:val="001A3C59"/>
    <w:rsid w:val="001A4B91"/>
    <w:rsid w:val="001A4C45"/>
    <w:rsid w:val="001A5692"/>
    <w:rsid w:val="001A6A6C"/>
    <w:rsid w:val="001A74F2"/>
    <w:rsid w:val="001A7C67"/>
    <w:rsid w:val="001B19D9"/>
    <w:rsid w:val="001B1D9F"/>
    <w:rsid w:val="001B33B6"/>
    <w:rsid w:val="001B3BE1"/>
    <w:rsid w:val="001B57A0"/>
    <w:rsid w:val="001B7360"/>
    <w:rsid w:val="001C187E"/>
    <w:rsid w:val="001C199F"/>
    <w:rsid w:val="001C27F8"/>
    <w:rsid w:val="001C4C73"/>
    <w:rsid w:val="001C541E"/>
    <w:rsid w:val="001C7E4C"/>
    <w:rsid w:val="001D043E"/>
    <w:rsid w:val="001D1A62"/>
    <w:rsid w:val="001D24D1"/>
    <w:rsid w:val="001D3F8C"/>
    <w:rsid w:val="001D49CB"/>
    <w:rsid w:val="001D560F"/>
    <w:rsid w:val="001D6273"/>
    <w:rsid w:val="001E0270"/>
    <w:rsid w:val="001E26AC"/>
    <w:rsid w:val="001E2BC6"/>
    <w:rsid w:val="001E3198"/>
    <w:rsid w:val="001E425B"/>
    <w:rsid w:val="001E4C3D"/>
    <w:rsid w:val="001E51A5"/>
    <w:rsid w:val="001E6884"/>
    <w:rsid w:val="001E6EC0"/>
    <w:rsid w:val="001E7958"/>
    <w:rsid w:val="001F150D"/>
    <w:rsid w:val="001F23C0"/>
    <w:rsid w:val="001F288A"/>
    <w:rsid w:val="001F388B"/>
    <w:rsid w:val="001F55DA"/>
    <w:rsid w:val="001F6DCA"/>
    <w:rsid w:val="001F6E69"/>
    <w:rsid w:val="00200720"/>
    <w:rsid w:val="002015D3"/>
    <w:rsid w:val="0020219F"/>
    <w:rsid w:val="0020278E"/>
    <w:rsid w:val="002041FF"/>
    <w:rsid w:val="00204AEB"/>
    <w:rsid w:val="00205189"/>
    <w:rsid w:val="00205435"/>
    <w:rsid w:val="00206FC9"/>
    <w:rsid w:val="00207965"/>
    <w:rsid w:val="0021178C"/>
    <w:rsid w:val="00211CD6"/>
    <w:rsid w:val="00214582"/>
    <w:rsid w:val="00216267"/>
    <w:rsid w:val="002170DF"/>
    <w:rsid w:val="00220BFA"/>
    <w:rsid w:val="00221666"/>
    <w:rsid w:val="00226BE4"/>
    <w:rsid w:val="0022727D"/>
    <w:rsid w:val="002279D6"/>
    <w:rsid w:val="002302FD"/>
    <w:rsid w:val="00235985"/>
    <w:rsid w:val="00236E82"/>
    <w:rsid w:val="00236FCE"/>
    <w:rsid w:val="00241D11"/>
    <w:rsid w:val="00242F45"/>
    <w:rsid w:val="002439B0"/>
    <w:rsid w:val="002447A6"/>
    <w:rsid w:val="00245A54"/>
    <w:rsid w:val="00245C19"/>
    <w:rsid w:val="00246C67"/>
    <w:rsid w:val="00247705"/>
    <w:rsid w:val="00250638"/>
    <w:rsid w:val="00252573"/>
    <w:rsid w:val="00252B4F"/>
    <w:rsid w:val="00252C5C"/>
    <w:rsid w:val="00253C08"/>
    <w:rsid w:val="00256852"/>
    <w:rsid w:val="0026043E"/>
    <w:rsid w:val="002614FA"/>
    <w:rsid w:val="00262615"/>
    <w:rsid w:val="00263136"/>
    <w:rsid w:val="00263BD1"/>
    <w:rsid w:val="00263DE2"/>
    <w:rsid w:val="00265241"/>
    <w:rsid w:val="002669C9"/>
    <w:rsid w:val="002709CA"/>
    <w:rsid w:val="002721E0"/>
    <w:rsid w:val="00273C44"/>
    <w:rsid w:val="00273F18"/>
    <w:rsid w:val="0027542C"/>
    <w:rsid w:val="002755AA"/>
    <w:rsid w:val="002762CA"/>
    <w:rsid w:val="002802CD"/>
    <w:rsid w:val="002813A0"/>
    <w:rsid w:val="002835EB"/>
    <w:rsid w:val="00284051"/>
    <w:rsid w:val="002847EC"/>
    <w:rsid w:val="00284B16"/>
    <w:rsid w:val="00285078"/>
    <w:rsid w:val="00285102"/>
    <w:rsid w:val="002852F7"/>
    <w:rsid w:val="002912A8"/>
    <w:rsid w:val="00292194"/>
    <w:rsid w:val="00293003"/>
    <w:rsid w:val="00294402"/>
    <w:rsid w:val="002968E1"/>
    <w:rsid w:val="002A1000"/>
    <w:rsid w:val="002A11F5"/>
    <w:rsid w:val="002A5A85"/>
    <w:rsid w:val="002A68F8"/>
    <w:rsid w:val="002A73FD"/>
    <w:rsid w:val="002B1DED"/>
    <w:rsid w:val="002B1F8E"/>
    <w:rsid w:val="002B3F54"/>
    <w:rsid w:val="002B4FA8"/>
    <w:rsid w:val="002B66F2"/>
    <w:rsid w:val="002B6ACF"/>
    <w:rsid w:val="002B6C55"/>
    <w:rsid w:val="002C138A"/>
    <w:rsid w:val="002C192F"/>
    <w:rsid w:val="002C19B8"/>
    <w:rsid w:val="002C2F3B"/>
    <w:rsid w:val="002C5599"/>
    <w:rsid w:val="002C66C2"/>
    <w:rsid w:val="002C77BE"/>
    <w:rsid w:val="002D0079"/>
    <w:rsid w:val="002D1C09"/>
    <w:rsid w:val="002D35E1"/>
    <w:rsid w:val="002D48A7"/>
    <w:rsid w:val="002D578A"/>
    <w:rsid w:val="002D6C37"/>
    <w:rsid w:val="002D76C4"/>
    <w:rsid w:val="002E044D"/>
    <w:rsid w:val="002E79C6"/>
    <w:rsid w:val="002E7C23"/>
    <w:rsid w:val="002F50AE"/>
    <w:rsid w:val="002F5802"/>
    <w:rsid w:val="00303FBF"/>
    <w:rsid w:val="0030564A"/>
    <w:rsid w:val="00306A94"/>
    <w:rsid w:val="0031045F"/>
    <w:rsid w:val="00310E1A"/>
    <w:rsid w:val="0031169A"/>
    <w:rsid w:val="00313045"/>
    <w:rsid w:val="00313ABA"/>
    <w:rsid w:val="00315CB8"/>
    <w:rsid w:val="003166E5"/>
    <w:rsid w:val="00317567"/>
    <w:rsid w:val="00317D28"/>
    <w:rsid w:val="00322F25"/>
    <w:rsid w:val="0032313A"/>
    <w:rsid w:val="00323229"/>
    <w:rsid w:val="00323D39"/>
    <w:rsid w:val="00324012"/>
    <w:rsid w:val="003255AF"/>
    <w:rsid w:val="00325732"/>
    <w:rsid w:val="0032758C"/>
    <w:rsid w:val="00327FC6"/>
    <w:rsid w:val="00332EC5"/>
    <w:rsid w:val="00337279"/>
    <w:rsid w:val="00343674"/>
    <w:rsid w:val="00345078"/>
    <w:rsid w:val="0034683D"/>
    <w:rsid w:val="00346ADD"/>
    <w:rsid w:val="00347651"/>
    <w:rsid w:val="00347774"/>
    <w:rsid w:val="00347D46"/>
    <w:rsid w:val="003504D4"/>
    <w:rsid w:val="003512E1"/>
    <w:rsid w:val="0035356D"/>
    <w:rsid w:val="00353819"/>
    <w:rsid w:val="003547D6"/>
    <w:rsid w:val="0035558B"/>
    <w:rsid w:val="003566A7"/>
    <w:rsid w:val="003568BF"/>
    <w:rsid w:val="00356BEB"/>
    <w:rsid w:val="00357E4A"/>
    <w:rsid w:val="0036142A"/>
    <w:rsid w:val="00361513"/>
    <w:rsid w:val="003622C4"/>
    <w:rsid w:val="00365C69"/>
    <w:rsid w:val="00365FC2"/>
    <w:rsid w:val="003662CF"/>
    <w:rsid w:val="00367587"/>
    <w:rsid w:val="00367AB6"/>
    <w:rsid w:val="00367E51"/>
    <w:rsid w:val="00370809"/>
    <w:rsid w:val="00371076"/>
    <w:rsid w:val="003710D4"/>
    <w:rsid w:val="00371ADF"/>
    <w:rsid w:val="00371B7E"/>
    <w:rsid w:val="00372FE7"/>
    <w:rsid w:val="003737CF"/>
    <w:rsid w:val="003747F8"/>
    <w:rsid w:val="003761C4"/>
    <w:rsid w:val="0037701D"/>
    <w:rsid w:val="00380A9F"/>
    <w:rsid w:val="003823F1"/>
    <w:rsid w:val="00386E62"/>
    <w:rsid w:val="00387568"/>
    <w:rsid w:val="003918D8"/>
    <w:rsid w:val="003963F8"/>
    <w:rsid w:val="00397041"/>
    <w:rsid w:val="003973BD"/>
    <w:rsid w:val="00397B68"/>
    <w:rsid w:val="003A06CA"/>
    <w:rsid w:val="003A6C2A"/>
    <w:rsid w:val="003A6DF5"/>
    <w:rsid w:val="003A71CC"/>
    <w:rsid w:val="003A7ED3"/>
    <w:rsid w:val="003A7F07"/>
    <w:rsid w:val="003A7F85"/>
    <w:rsid w:val="003B0751"/>
    <w:rsid w:val="003B55A1"/>
    <w:rsid w:val="003B5EE5"/>
    <w:rsid w:val="003B73B7"/>
    <w:rsid w:val="003B768B"/>
    <w:rsid w:val="003C15D4"/>
    <w:rsid w:val="003C15F3"/>
    <w:rsid w:val="003C2947"/>
    <w:rsid w:val="003C3036"/>
    <w:rsid w:val="003C4934"/>
    <w:rsid w:val="003C5A4B"/>
    <w:rsid w:val="003C62BE"/>
    <w:rsid w:val="003C6B3A"/>
    <w:rsid w:val="003C7FF5"/>
    <w:rsid w:val="003D0A5A"/>
    <w:rsid w:val="003D1363"/>
    <w:rsid w:val="003D21F0"/>
    <w:rsid w:val="003D2290"/>
    <w:rsid w:val="003D2BCB"/>
    <w:rsid w:val="003D2F8A"/>
    <w:rsid w:val="003D556D"/>
    <w:rsid w:val="003D5DD3"/>
    <w:rsid w:val="003D654B"/>
    <w:rsid w:val="003D73B2"/>
    <w:rsid w:val="003E0152"/>
    <w:rsid w:val="003E05DB"/>
    <w:rsid w:val="003E1391"/>
    <w:rsid w:val="003E1A4F"/>
    <w:rsid w:val="003E1F02"/>
    <w:rsid w:val="003E1F35"/>
    <w:rsid w:val="003E40CD"/>
    <w:rsid w:val="003F0FB4"/>
    <w:rsid w:val="003F2C5F"/>
    <w:rsid w:val="003F33A4"/>
    <w:rsid w:val="003F3585"/>
    <w:rsid w:val="003F5405"/>
    <w:rsid w:val="003F7F32"/>
    <w:rsid w:val="00400F8A"/>
    <w:rsid w:val="00402229"/>
    <w:rsid w:val="0040775F"/>
    <w:rsid w:val="00407907"/>
    <w:rsid w:val="00411AA5"/>
    <w:rsid w:val="00413C8D"/>
    <w:rsid w:val="00415593"/>
    <w:rsid w:val="00416950"/>
    <w:rsid w:val="00417713"/>
    <w:rsid w:val="00420990"/>
    <w:rsid w:val="00423EDA"/>
    <w:rsid w:val="004241D6"/>
    <w:rsid w:val="00424620"/>
    <w:rsid w:val="00431033"/>
    <w:rsid w:val="00433215"/>
    <w:rsid w:val="00433CAC"/>
    <w:rsid w:val="0044068E"/>
    <w:rsid w:val="0044183E"/>
    <w:rsid w:val="00443C0A"/>
    <w:rsid w:val="00445D9A"/>
    <w:rsid w:val="004502A5"/>
    <w:rsid w:val="0045066C"/>
    <w:rsid w:val="004526F2"/>
    <w:rsid w:val="0045314B"/>
    <w:rsid w:val="00454E26"/>
    <w:rsid w:val="0045500B"/>
    <w:rsid w:val="00455076"/>
    <w:rsid w:val="00455995"/>
    <w:rsid w:val="00460921"/>
    <w:rsid w:val="0046227C"/>
    <w:rsid w:val="00462FC2"/>
    <w:rsid w:val="0046765C"/>
    <w:rsid w:val="00470ED9"/>
    <w:rsid w:val="004768FA"/>
    <w:rsid w:val="004774DF"/>
    <w:rsid w:val="00477FA9"/>
    <w:rsid w:val="00480701"/>
    <w:rsid w:val="00480B64"/>
    <w:rsid w:val="004831A0"/>
    <w:rsid w:val="00483585"/>
    <w:rsid w:val="0048378E"/>
    <w:rsid w:val="00484D14"/>
    <w:rsid w:val="00486524"/>
    <w:rsid w:val="00491BE4"/>
    <w:rsid w:val="00491EEB"/>
    <w:rsid w:val="00492445"/>
    <w:rsid w:val="00492FF3"/>
    <w:rsid w:val="00495218"/>
    <w:rsid w:val="00495884"/>
    <w:rsid w:val="00496E48"/>
    <w:rsid w:val="004975D8"/>
    <w:rsid w:val="004A0209"/>
    <w:rsid w:val="004A1440"/>
    <w:rsid w:val="004A15EB"/>
    <w:rsid w:val="004A1D19"/>
    <w:rsid w:val="004A1E11"/>
    <w:rsid w:val="004A44CA"/>
    <w:rsid w:val="004A4915"/>
    <w:rsid w:val="004A5714"/>
    <w:rsid w:val="004A57DE"/>
    <w:rsid w:val="004A59FA"/>
    <w:rsid w:val="004A5B33"/>
    <w:rsid w:val="004B227A"/>
    <w:rsid w:val="004B3497"/>
    <w:rsid w:val="004B40F9"/>
    <w:rsid w:val="004C0021"/>
    <w:rsid w:val="004C1C25"/>
    <w:rsid w:val="004C20B5"/>
    <w:rsid w:val="004C3DB1"/>
    <w:rsid w:val="004C4AF6"/>
    <w:rsid w:val="004C4CA9"/>
    <w:rsid w:val="004C570C"/>
    <w:rsid w:val="004C798E"/>
    <w:rsid w:val="004D0AE7"/>
    <w:rsid w:val="004D0C2D"/>
    <w:rsid w:val="004D19EC"/>
    <w:rsid w:val="004D1B30"/>
    <w:rsid w:val="004D3BF4"/>
    <w:rsid w:val="004D3E20"/>
    <w:rsid w:val="004D406B"/>
    <w:rsid w:val="004D47CC"/>
    <w:rsid w:val="004D77E5"/>
    <w:rsid w:val="004E0790"/>
    <w:rsid w:val="004E14B5"/>
    <w:rsid w:val="004E1DFD"/>
    <w:rsid w:val="004E246F"/>
    <w:rsid w:val="004E254C"/>
    <w:rsid w:val="004E471F"/>
    <w:rsid w:val="004E5CAE"/>
    <w:rsid w:val="004E7DCC"/>
    <w:rsid w:val="004F1131"/>
    <w:rsid w:val="004F2DA5"/>
    <w:rsid w:val="004F2F61"/>
    <w:rsid w:val="004F70F8"/>
    <w:rsid w:val="00501151"/>
    <w:rsid w:val="00501A26"/>
    <w:rsid w:val="0051226E"/>
    <w:rsid w:val="005125FB"/>
    <w:rsid w:val="00512802"/>
    <w:rsid w:val="00512EF3"/>
    <w:rsid w:val="005137DA"/>
    <w:rsid w:val="005140B0"/>
    <w:rsid w:val="00515349"/>
    <w:rsid w:val="0051571D"/>
    <w:rsid w:val="00516818"/>
    <w:rsid w:val="00517D29"/>
    <w:rsid w:val="00521D70"/>
    <w:rsid w:val="0052457C"/>
    <w:rsid w:val="00526290"/>
    <w:rsid w:val="00534F7B"/>
    <w:rsid w:val="00535788"/>
    <w:rsid w:val="00536807"/>
    <w:rsid w:val="00542483"/>
    <w:rsid w:val="00542767"/>
    <w:rsid w:val="005427B5"/>
    <w:rsid w:val="005428D2"/>
    <w:rsid w:val="00542ABA"/>
    <w:rsid w:val="005435EF"/>
    <w:rsid w:val="0054448D"/>
    <w:rsid w:val="00545DFA"/>
    <w:rsid w:val="005462BE"/>
    <w:rsid w:val="00546663"/>
    <w:rsid w:val="005478EC"/>
    <w:rsid w:val="00547970"/>
    <w:rsid w:val="00550BEA"/>
    <w:rsid w:val="00551A7E"/>
    <w:rsid w:val="00551F8F"/>
    <w:rsid w:val="00553493"/>
    <w:rsid w:val="00554943"/>
    <w:rsid w:val="0055527E"/>
    <w:rsid w:val="00556E1D"/>
    <w:rsid w:val="005572D8"/>
    <w:rsid w:val="0055752C"/>
    <w:rsid w:val="005575E9"/>
    <w:rsid w:val="005617AE"/>
    <w:rsid w:val="00561BF7"/>
    <w:rsid w:val="00562816"/>
    <w:rsid w:val="0056461F"/>
    <w:rsid w:val="00564DCF"/>
    <w:rsid w:val="00565225"/>
    <w:rsid w:val="0057103F"/>
    <w:rsid w:val="00571BF4"/>
    <w:rsid w:val="0057246B"/>
    <w:rsid w:val="005756A1"/>
    <w:rsid w:val="00575D28"/>
    <w:rsid w:val="0057733A"/>
    <w:rsid w:val="00577B9C"/>
    <w:rsid w:val="00577E87"/>
    <w:rsid w:val="00577E8D"/>
    <w:rsid w:val="005819C1"/>
    <w:rsid w:val="005823F3"/>
    <w:rsid w:val="0058433F"/>
    <w:rsid w:val="005854E8"/>
    <w:rsid w:val="005859AE"/>
    <w:rsid w:val="00586931"/>
    <w:rsid w:val="0058785D"/>
    <w:rsid w:val="00587861"/>
    <w:rsid w:val="00587F02"/>
    <w:rsid w:val="005905DF"/>
    <w:rsid w:val="00592F02"/>
    <w:rsid w:val="00594A62"/>
    <w:rsid w:val="005968BF"/>
    <w:rsid w:val="005A390B"/>
    <w:rsid w:val="005A4A3A"/>
    <w:rsid w:val="005A6589"/>
    <w:rsid w:val="005A78BD"/>
    <w:rsid w:val="005B1539"/>
    <w:rsid w:val="005B248D"/>
    <w:rsid w:val="005B5C3E"/>
    <w:rsid w:val="005B605C"/>
    <w:rsid w:val="005C004F"/>
    <w:rsid w:val="005C1C10"/>
    <w:rsid w:val="005C20AE"/>
    <w:rsid w:val="005C51DF"/>
    <w:rsid w:val="005C58AE"/>
    <w:rsid w:val="005C5AA6"/>
    <w:rsid w:val="005C60CC"/>
    <w:rsid w:val="005C6D17"/>
    <w:rsid w:val="005C723F"/>
    <w:rsid w:val="005C79F5"/>
    <w:rsid w:val="005D0750"/>
    <w:rsid w:val="005D1690"/>
    <w:rsid w:val="005D7577"/>
    <w:rsid w:val="005E10C6"/>
    <w:rsid w:val="005E15D1"/>
    <w:rsid w:val="005E1641"/>
    <w:rsid w:val="005E357E"/>
    <w:rsid w:val="005E5DC1"/>
    <w:rsid w:val="005F14AB"/>
    <w:rsid w:val="005F5CD4"/>
    <w:rsid w:val="005F6436"/>
    <w:rsid w:val="005F70AA"/>
    <w:rsid w:val="005F77DA"/>
    <w:rsid w:val="005F7FBC"/>
    <w:rsid w:val="00601F65"/>
    <w:rsid w:val="006023EC"/>
    <w:rsid w:val="00605952"/>
    <w:rsid w:val="00606FFF"/>
    <w:rsid w:val="006070EA"/>
    <w:rsid w:val="0061021C"/>
    <w:rsid w:val="00610DDE"/>
    <w:rsid w:val="0061428F"/>
    <w:rsid w:val="00615054"/>
    <w:rsid w:val="00615996"/>
    <w:rsid w:val="00616C50"/>
    <w:rsid w:val="00621123"/>
    <w:rsid w:val="00623404"/>
    <w:rsid w:val="00625742"/>
    <w:rsid w:val="00625D76"/>
    <w:rsid w:val="006275B2"/>
    <w:rsid w:val="00630047"/>
    <w:rsid w:val="006336DC"/>
    <w:rsid w:val="00634512"/>
    <w:rsid w:val="00642116"/>
    <w:rsid w:val="00642440"/>
    <w:rsid w:val="00642B80"/>
    <w:rsid w:val="0064535B"/>
    <w:rsid w:val="0064559F"/>
    <w:rsid w:val="0064675C"/>
    <w:rsid w:val="006468AA"/>
    <w:rsid w:val="00654348"/>
    <w:rsid w:val="00654C7B"/>
    <w:rsid w:val="00655F14"/>
    <w:rsid w:val="00661163"/>
    <w:rsid w:val="00661BF8"/>
    <w:rsid w:val="00662131"/>
    <w:rsid w:val="0066216D"/>
    <w:rsid w:val="00662674"/>
    <w:rsid w:val="00662D54"/>
    <w:rsid w:val="0066395D"/>
    <w:rsid w:val="00666D0A"/>
    <w:rsid w:val="00670A3C"/>
    <w:rsid w:val="00672747"/>
    <w:rsid w:val="00675008"/>
    <w:rsid w:val="0067592E"/>
    <w:rsid w:val="00676D48"/>
    <w:rsid w:val="006770F2"/>
    <w:rsid w:val="00680CA5"/>
    <w:rsid w:val="0068105E"/>
    <w:rsid w:val="006838BD"/>
    <w:rsid w:val="00683C82"/>
    <w:rsid w:val="00685730"/>
    <w:rsid w:val="00685CFA"/>
    <w:rsid w:val="00686501"/>
    <w:rsid w:val="006903A8"/>
    <w:rsid w:val="00690597"/>
    <w:rsid w:val="0069575A"/>
    <w:rsid w:val="00695EED"/>
    <w:rsid w:val="006A0F7E"/>
    <w:rsid w:val="006A1365"/>
    <w:rsid w:val="006A3195"/>
    <w:rsid w:val="006A518C"/>
    <w:rsid w:val="006A7573"/>
    <w:rsid w:val="006B012A"/>
    <w:rsid w:val="006B2997"/>
    <w:rsid w:val="006B2F33"/>
    <w:rsid w:val="006B3404"/>
    <w:rsid w:val="006B5E3C"/>
    <w:rsid w:val="006C083B"/>
    <w:rsid w:val="006C100B"/>
    <w:rsid w:val="006C2466"/>
    <w:rsid w:val="006C35BD"/>
    <w:rsid w:val="006C38DF"/>
    <w:rsid w:val="006C3999"/>
    <w:rsid w:val="006C4789"/>
    <w:rsid w:val="006C5A2D"/>
    <w:rsid w:val="006C5AD1"/>
    <w:rsid w:val="006C7A00"/>
    <w:rsid w:val="006D5823"/>
    <w:rsid w:val="006E1117"/>
    <w:rsid w:val="006E3A53"/>
    <w:rsid w:val="006E4309"/>
    <w:rsid w:val="006E4688"/>
    <w:rsid w:val="006E4C6A"/>
    <w:rsid w:val="006E5743"/>
    <w:rsid w:val="006F04F1"/>
    <w:rsid w:val="006F2A01"/>
    <w:rsid w:val="006F5155"/>
    <w:rsid w:val="006F58AD"/>
    <w:rsid w:val="006F670F"/>
    <w:rsid w:val="006F79AB"/>
    <w:rsid w:val="006F7FB4"/>
    <w:rsid w:val="00701457"/>
    <w:rsid w:val="0070219B"/>
    <w:rsid w:val="007039D4"/>
    <w:rsid w:val="00703F68"/>
    <w:rsid w:val="007045CC"/>
    <w:rsid w:val="0070688D"/>
    <w:rsid w:val="007074B5"/>
    <w:rsid w:val="007129ED"/>
    <w:rsid w:val="00715769"/>
    <w:rsid w:val="00716F57"/>
    <w:rsid w:val="007200FD"/>
    <w:rsid w:val="00721405"/>
    <w:rsid w:val="0072323A"/>
    <w:rsid w:val="007233A9"/>
    <w:rsid w:val="007242EC"/>
    <w:rsid w:val="007247C1"/>
    <w:rsid w:val="00726629"/>
    <w:rsid w:val="00726F77"/>
    <w:rsid w:val="00731DBB"/>
    <w:rsid w:val="00735A9B"/>
    <w:rsid w:val="00735F9B"/>
    <w:rsid w:val="00744A31"/>
    <w:rsid w:val="00746716"/>
    <w:rsid w:val="0075396B"/>
    <w:rsid w:val="00754102"/>
    <w:rsid w:val="00754B05"/>
    <w:rsid w:val="00755453"/>
    <w:rsid w:val="007559FB"/>
    <w:rsid w:val="00760E91"/>
    <w:rsid w:val="00761BFD"/>
    <w:rsid w:val="00761D59"/>
    <w:rsid w:val="0076495A"/>
    <w:rsid w:val="00764E28"/>
    <w:rsid w:val="00770081"/>
    <w:rsid w:val="00771276"/>
    <w:rsid w:val="00771277"/>
    <w:rsid w:val="00771F49"/>
    <w:rsid w:val="0077247E"/>
    <w:rsid w:val="00772C3B"/>
    <w:rsid w:val="00772D36"/>
    <w:rsid w:val="007736FB"/>
    <w:rsid w:val="00773A7C"/>
    <w:rsid w:val="00774366"/>
    <w:rsid w:val="00774BD7"/>
    <w:rsid w:val="0077548A"/>
    <w:rsid w:val="00780BB6"/>
    <w:rsid w:val="00782495"/>
    <w:rsid w:val="00782785"/>
    <w:rsid w:val="007903FB"/>
    <w:rsid w:val="007906FC"/>
    <w:rsid w:val="007955B5"/>
    <w:rsid w:val="00796D1F"/>
    <w:rsid w:val="007A6979"/>
    <w:rsid w:val="007B5065"/>
    <w:rsid w:val="007B52D3"/>
    <w:rsid w:val="007B5D54"/>
    <w:rsid w:val="007B6012"/>
    <w:rsid w:val="007B6C89"/>
    <w:rsid w:val="007B7799"/>
    <w:rsid w:val="007C1575"/>
    <w:rsid w:val="007C2337"/>
    <w:rsid w:val="007C2433"/>
    <w:rsid w:val="007C3C15"/>
    <w:rsid w:val="007C3C87"/>
    <w:rsid w:val="007C4983"/>
    <w:rsid w:val="007C5B76"/>
    <w:rsid w:val="007C6D04"/>
    <w:rsid w:val="007D2442"/>
    <w:rsid w:val="007D4B77"/>
    <w:rsid w:val="007D583C"/>
    <w:rsid w:val="007D5EAA"/>
    <w:rsid w:val="007D75A7"/>
    <w:rsid w:val="007D7DA0"/>
    <w:rsid w:val="007E0CF8"/>
    <w:rsid w:val="007E1EC5"/>
    <w:rsid w:val="007E4C12"/>
    <w:rsid w:val="007E696D"/>
    <w:rsid w:val="007F0831"/>
    <w:rsid w:val="007F1563"/>
    <w:rsid w:val="007F1AE0"/>
    <w:rsid w:val="007F1EB7"/>
    <w:rsid w:val="007F2B13"/>
    <w:rsid w:val="007F35F4"/>
    <w:rsid w:val="007F45B7"/>
    <w:rsid w:val="007F4E38"/>
    <w:rsid w:val="007F6915"/>
    <w:rsid w:val="007F7542"/>
    <w:rsid w:val="008007D7"/>
    <w:rsid w:val="00800FB4"/>
    <w:rsid w:val="008018D8"/>
    <w:rsid w:val="00806FCD"/>
    <w:rsid w:val="00810384"/>
    <w:rsid w:val="00811FF4"/>
    <w:rsid w:val="008132F5"/>
    <w:rsid w:val="008142FB"/>
    <w:rsid w:val="00814E74"/>
    <w:rsid w:val="00815338"/>
    <w:rsid w:val="0081777F"/>
    <w:rsid w:val="008244A6"/>
    <w:rsid w:val="0082533F"/>
    <w:rsid w:val="00826E7D"/>
    <w:rsid w:val="00827BEB"/>
    <w:rsid w:val="00827E92"/>
    <w:rsid w:val="0083153B"/>
    <w:rsid w:val="00834D7E"/>
    <w:rsid w:val="00836B41"/>
    <w:rsid w:val="00837669"/>
    <w:rsid w:val="00843D41"/>
    <w:rsid w:val="00844AEF"/>
    <w:rsid w:val="00847DF5"/>
    <w:rsid w:val="00850077"/>
    <w:rsid w:val="00855C8D"/>
    <w:rsid w:val="00855F38"/>
    <w:rsid w:val="00856013"/>
    <w:rsid w:val="00857535"/>
    <w:rsid w:val="00857A7E"/>
    <w:rsid w:val="00860A49"/>
    <w:rsid w:val="00860CD7"/>
    <w:rsid w:val="00862F74"/>
    <w:rsid w:val="00863278"/>
    <w:rsid w:val="00863F0D"/>
    <w:rsid w:val="00865327"/>
    <w:rsid w:val="00870E0A"/>
    <w:rsid w:val="00871539"/>
    <w:rsid w:val="00871AD4"/>
    <w:rsid w:val="008761D5"/>
    <w:rsid w:val="00876567"/>
    <w:rsid w:val="00876F50"/>
    <w:rsid w:val="00877050"/>
    <w:rsid w:val="008805D2"/>
    <w:rsid w:val="00882282"/>
    <w:rsid w:val="00882729"/>
    <w:rsid w:val="008834C7"/>
    <w:rsid w:val="00883DDE"/>
    <w:rsid w:val="008851E5"/>
    <w:rsid w:val="00887FAB"/>
    <w:rsid w:val="00890489"/>
    <w:rsid w:val="00891314"/>
    <w:rsid w:val="00891CFF"/>
    <w:rsid w:val="00891F9E"/>
    <w:rsid w:val="0089207A"/>
    <w:rsid w:val="00893861"/>
    <w:rsid w:val="008966DC"/>
    <w:rsid w:val="00896D35"/>
    <w:rsid w:val="00897275"/>
    <w:rsid w:val="00897B3A"/>
    <w:rsid w:val="008A132E"/>
    <w:rsid w:val="008A17D3"/>
    <w:rsid w:val="008A1847"/>
    <w:rsid w:val="008A475D"/>
    <w:rsid w:val="008A64B9"/>
    <w:rsid w:val="008B1C86"/>
    <w:rsid w:val="008B1E7F"/>
    <w:rsid w:val="008B47C0"/>
    <w:rsid w:val="008B4DC0"/>
    <w:rsid w:val="008B4DEB"/>
    <w:rsid w:val="008B5EAD"/>
    <w:rsid w:val="008C04FC"/>
    <w:rsid w:val="008C1EEC"/>
    <w:rsid w:val="008C23A6"/>
    <w:rsid w:val="008C2BA7"/>
    <w:rsid w:val="008C2E1B"/>
    <w:rsid w:val="008C434D"/>
    <w:rsid w:val="008C5CEF"/>
    <w:rsid w:val="008C5D20"/>
    <w:rsid w:val="008C7F2F"/>
    <w:rsid w:val="008D00AB"/>
    <w:rsid w:val="008D2DDB"/>
    <w:rsid w:val="008D343E"/>
    <w:rsid w:val="008D3960"/>
    <w:rsid w:val="008D4247"/>
    <w:rsid w:val="008D467B"/>
    <w:rsid w:val="008D5236"/>
    <w:rsid w:val="008D5E7D"/>
    <w:rsid w:val="008D7425"/>
    <w:rsid w:val="008E2222"/>
    <w:rsid w:val="008E57E8"/>
    <w:rsid w:val="008E5D79"/>
    <w:rsid w:val="008E5EA5"/>
    <w:rsid w:val="008F1DB0"/>
    <w:rsid w:val="008F3401"/>
    <w:rsid w:val="008F3C8E"/>
    <w:rsid w:val="008F4E97"/>
    <w:rsid w:val="00901665"/>
    <w:rsid w:val="009021D4"/>
    <w:rsid w:val="00904AA8"/>
    <w:rsid w:val="0090580D"/>
    <w:rsid w:val="0091265F"/>
    <w:rsid w:val="00912D15"/>
    <w:rsid w:val="00912D3A"/>
    <w:rsid w:val="00913479"/>
    <w:rsid w:val="00915FA9"/>
    <w:rsid w:val="00917A9F"/>
    <w:rsid w:val="00921EF1"/>
    <w:rsid w:val="00925E82"/>
    <w:rsid w:val="00926C07"/>
    <w:rsid w:val="0092714C"/>
    <w:rsid w:val="0092791D"/>
    <w:rsid w:val="00930012"/>
    <w:rsid w:val="00931D7E"/>
    <w:rsid w:val="00933628"/>
    <w:rsid w:val="0093390E"/>
    <w:rsid w:val="00935952"/>
    <w:rsid w:val="00941E05"/>
    <w:rsid w:val="00944DC1"/>
    <w:rsid w:val="00945007"/>
    <w:rsid w:val="00945456"/>
    <w:rsid w:val="00950285"/>
    <w:rsid w:val="00951D5E"/>
    <w:rsid w:val="009523D1"/>
    <w:rsid w:val="00952A43"/>
    <w:rsid w:val="009535AF"/>
    <w:rsid w:val="00953FE6"/>
    <w:rsid w:val="00955F03"/>
    <w:rsid w:val="00956009"/>
    <w:rsid w:val="00956DCE"/>
    <w:rsid w:val="009651AE"/>
    <w:rsid w:val="00965566"/>
    <w:rsid w:val="00965611"/>
    <w:rsid w:val="00966221"/>
    <w:rsid w:val="00966CC9"/>
    <w:rsid w:val="0096771F"/>
    <w:rsid w:val="00970C0F"/>
    <w:rsid w:val="00970D04"/>
    <w:rsid w:val="00971018"/>
    <w:rsid w:val="009721E2"/>
    <w:rsid w:val="00974BFD"/>
    <w:rsid w:val="00974C4B"/>
    <w:rsid w:val="00977D83"/>
    <w:rsid w:val="00980533"/>
    <w:rsid w:val="009810ED"/>
    <w:rsid w:val="00981F6E"/>
    <w:rsid w:val="00982256"/>
    <w:rsid w:val="009875FD"/>
    <w:rsid w:val="00987B12"/>
    <w:rsid w:val="00992610"/>
    <w:rsid w:val="00994CCB"/>
    <w:rsid w:val="00994F12"/>
    <w:rsid w:val="009969E6"/>
    <w:rsid w:val="009A116A"/>
    <w:rsid w:val="009A207A"/>
    <w:rsid w:val="009A343B"/>
    <w:rsid w:val="009A3C2D"/>
    <w:rsid w:val="009A3D87"/>
    <w:rsid w:val="009A40E3"/>
    <w:rsid w:val="009A4939"/>
    <w:rsid w:val="009A6587"/>
    <w:rsid w:val="009B53DA"/>
    <w:rsid w:val="009B6DD2"/>
    <w:rsid w:val="009B7529"/>
    <w:rsid w:val="009C0A29"/>
    <w:rsid w:val="009C121D"/>
    <w:rsid w:val="009C2B37"/>
    <w:rsid w:val="009C496B"/>
    <w:rsid w:val="009C4A01"/>
    <w:rsid w:val="009D2248"/>
    <w:rsid w:val="009D26E5"/>
    <w:rsid w:val="009D48A9"/>
    <w:rsid w:val="009D4EF1"/>
    <w:rsid w:val="009D7018"/>
    <w:rsid w:val="009E08EB"/>
    <w:rsid w:val="009E0ABC"/>
    <w:rsid w:val="009E1203"/>
    <w:rsid w:val="009E1800"/>
    <w:rsid w:val="009E399C"/>
    <w:rsid w:val="009E5348"/>
    <w:rsid w:val="009E55E1"/>
    <w:rsid w:val="009F1E06"/>
    <w:rsid w:val="009F2BFC"/>
    <w:rsid w:val="009F2D21"/>
    <w:rsid w:val="009F679C"/>
    <w:rsid w:val="00A010EE"/>
    <w:rsid w:val="00A02006"/>
    <w:rsid w:val="00A0303B"/>
    <w:rsid w:val="00A03051"/>
    <w:rsid w:val="00A053A9"/>
    <w:rsid w:val="00A06394"/>
    <w:rsid w:val="00A102B3"/>
    <w:rsid w:val="00A166B8"/>
    <w:rsid w:val="00A2031F"/>
    <w:rsid w:val="00A20586"/>
    <w:rsid w:val="00A20FFC"/>
    <w:rsid w:val="00A22485"/>
    <w:rsid w:val="00A231E6"/>
    <w:rsid w:val="00A24463"/>
    <w:rsid w:val="00A30702"/>
    <w:rsid w:val="00A30767"/>
    <w:rsid w:val="00A32433"/>
    <w:rsid w:val="00A32D76"/>
    <w:rsid w:val="00A32F4B"/>
    <w:rsid w:val="00A33373"/>
    <w:rsid w:val="00A33664"/>
    <w:rsid w:val="00A33984"/>
    <w:rsid w:val="00A3402F"/>
    <w:rsid w:val="00A363CD"/>
    <w:rsid w:val="00A37E83"/>
    <w:rsid w:val="00A40124"/>
    <w:rsid w:val="00A43B87"/>
    <w:rsid w:val="00A43D2D"/>
    <w:rsid w:val="00A441C2"/>
    <w:rsid w:val="00A501D2"/>
    <w:rsid w:val="00A50A1E"/>
    <w:rsid w:val="00A51FE3"/>
    <w:rsid w:val="00A52480"/>
    <w:rsid w:val="00A53CB1"/>
    <w:rsid w:val="00A54249"/>
    <w:rsid w:val="00A54B3A"/>
    <w:rsid w:val="00A56C3D"/>
    <w:rsid w:val="00A56FEE"/>
    <w:rsid w:val="00A62B93"/>
    <w:rsid w:val="00A63C9D"/>
    <w:rsid w:val="00A64391"/>
    <w:rsid w:val="00A64A49"/>
    <w:rsid w:val="00A67B5C"/>
    <w:rsid w:val="00A71A7C"/>
    <w:rsid w:val="00A7448C"/>
    <w:rsid w:val="00A756DB"/>
    <w:rsid w:val="00A7700C"/>
    <w:rsid w:val="00A7745F"/>
    <w:rsid w:val="00A774C4"/>
    <w:rsid w:val="00A80844"/>
    <w:rsid w:val="00A809C7"/>
    <w:rsid w:val="00A83C87"/>
    <w:rsid w:val="00A84727"/>
    <w:rsid w:val="00A85BB5"/>
    <w:rsid w:val="00A8789F"/>
    <w:rsid w:val="00A91CE2"/>
    <w:rsid w:val="00A92329"/>
    <w:rsid w:val="00A92936"/>
    <w:rsid w:val="00A938E3"/>
    <w:rsid w:val="00A952D3"/>
    <w:rsid w:val="00AA0EC0"/>
    <w:rsid w:val="00AA11A9"/>
    <w:rsid w:val="00AA1BE1"/>
    <w:rsid w:val="00AA1C31"/>
    <w:rsid w:val="00AA2EDE"/>
    <w:rsid w:val="00AA3DFC"/>
    <w:rsid w:val="00AA4433"/>
    <w:rsid w:val="00AA4B56"/>
    <w:rsid w:val="00AA5045"/>
    <w:rsid w:val="00AA5C5B"/>
    <w:rsid w:val="00AA6659"/>
    <w:rsid w:val="00AA7BD7"/>
    <w:rsid w:val="00AB16B7"/>
    <w:rsid w:val="00AB28B4"/>
    <w:rsid w:val="00AB5023"/>
    <w:rsid w:val="00AB578C"/>
    <w:rsid w:val="00AC0153"/>
    <w:rsid w:val="00AC3693"/>
    <w:rsid w:val="00AC479A"/>
    <w:rsid w:val="00AC7EFE"/>
    <w:rsid w:val="00AD21F9"/>
    <w:rsid w:val="00AD58B1"/>
    <w:rsid w:val="00AD618F"/>
    <w:rsid w:val="00AE1AA0"/>
    <w:rsid w:val="00AE2625"/>
    <w:rsid w:val="00AE33B0"/>
    <w:rsid w:val="00AE36CB"/>
    <w:rsid w:val="00AE4ED4"/>
    <w:rsid w:val="00AF0796"/>
    <w:rsid w:val="00AF333C"/>
    <w:rsid w:val="00AF39D7"/>
    <w:rsid w:val="00AF40F5"/>
    <w:rsid w:val="00AF7AB6"/>
    <w:rsid w:val="00B010F1"/>
    <w:rsid w:val="00B01388"/>
    <w:rsid w:val="00B027D1"/>
    <w:rsid w:val="00B03E25"/>
    <w:rsid w:val="00B05CDA"/>
    <w:rsid w:val="00B06CCD"/>
    <w:rsid w:val="00B07665"/>
    <w:rsid w:val="00B114FB"/>
    <w:rsid w:val="00B12F48"/>
    <w:rsid w:val="00B13A94"/>
    <w:rsid w:val="00B143B3"/>
    <w:rsid w:val="00B143C5"/>
    <w:rsid w:val="00B14945"/>
    <w:rsid w:val="00B15C36"/>
    <w:rsid w:val="00B15EFE"/>
    <w:rsid w:val="00B16672"/>
    <w:rsid w:val="00B16793"/>
    <w:rsid w:val="00B167C0"/>
    <w:rsid w:val="00B17443"/>
    <w:rsid w:val="00B251A3"/>
    <w:rsid w:val="00B2564C"/>
    <w:rsid w:val="00B27A7C"/>
    <w:rsid w:val="00B315D1"/>
    <w:rsid w:val="00B32671"/>
    <w:rsid w:val="00B32CFB"/>
    <w:rsid w:val="00B35D5B"/>
    <w:rsid w:val="00B40A34"/>
    <w:rsid w:val="00B42DD8"/>
    <w:rsid w:val="00B434C3"/>
    <w:rsid w:val="00B435AB"/>
    <w:rsid w:val="00B4428B"/>
    <w:rsid w:val="00B452A1"/>
    <w:rsid w:val="00B4532B"/>
    <w:rsid w:val="00B461AD"/>
    <w:rsid w:val="00B4688C"/>
    <w:rsid w:val="00B548EE"/>
    <w:rsid w:val="00B551CA"/>
    <w:rsid w:val="00B622F3"/>
    <w:rsid w:val="00B64A22"/>
    <w:rsid w:val="00B65F05"/>
    <w:rsid w:val="00B667B9"/>
    <w:rsid w:val="00B67CC7"/>
    <w:rsid w:val="00B7079D"/>
    <w:rsid w:val="00B73E35"/>
    <w:rsid w:val="00B80255"/>
    <w:rsid w:val="00B8102C"/>
    <w:rsid w:val="00B82F6A"/>
    <w:rsid w:val="00B85BF1"/>
    <w:rsid w:val="00B91690"/>
    <w:rsid w:val="00B933C6"/>
    <w:rsid w:val="00B9349A"/>
    <w:rsid w:val="00B93C2C"/>
    <w:rsid w:val="00B96855"/>
    <w:rsid w:val="00B97BE4"/>
    <w:rsid w:val="00BA4A00"/>
    <w:rsid w:val="00BA6780"/>
    <w:rsid w:val="00BA70A6"/>
    <w:rsid w:val="00BA77A5"/>
    <w:rsid w:val="00BB0F67"/>
    <w:rsid w:val="00BB0FA8"/>
    <w:rsid w:val="00BB2366"/>
    <w:rsid w:val="00BB2841"/>
    <w:rsid w:val="00BB39A2"/>
    <w:rsid w:val="00BB39D7"/>
    <w:rsid w:val="00BB414C"/>
    <w:rsid w:val="00BB4CD1"/>
    <w:rsid w:val="00BB6549"/>
    <w:rsid w:val="00BC05CF"/>
    <w:rsid w:val="00BC1FDF"/>
    <w:rsid w:val="00BC2F6C"/>
    <w:rsid w:val="00BC4B19"/>
    <w:rsid w:val="00BD0520"/>
    <w:rsid w:val="00BD052F"/>
    <w:rsid w:val="00BD4205"/>
    <w:rsid w:val="00BD464E"/>
    <w:rsid w:val="00BD5AB9"/>
    <w:rsid w:val="00BE1B24"/>
    <w:rsid w:val="00BE2266"/>
    <w:rsid w:val="00BE24D3"/>
    <w:rsid w:val="00BE6DFA"/>
    <w:rsid w:val="00BF03AD"/>
    <w:rsid w:val="00BF0E13"/>
    <w:rsid w:val="00BF12B3"/>
    <w:rsid w:val="00BF1B06"/>
    <w:rsid w:val="00BF2835"/>
    <w:rsid w:val="00BF2EBF"/>
    <w:rsid w:val="00BF50D5"/>
    <w:rsid w:val="00BF5D2A"/>
    <w:rsid w:val="00BF6888"/>
    <w:rsid w:val="00BF6E0B"/>
    <w:rsid w:val="00C018AE"/>
    <w:rsid w:val="00C03700"/>
    <w:rsid w:val="00C05183"/>
    <w:rsid w:val="00C05E5F"/>
    <w:rsid w:val="00C06B85"/>
    <w:rsid w:val="00C070E5"/>
    <w:rsid w:val="00C10200"/>
    <w:rsid w:val="00C131F6"/>
    <w:rsid w:val="00C13471"/>
    <w:rsid w:val="00C13870"/>
    <w:rsid w:val="00C15608"/>
    <w:rsid w:val="00C1574E"/>
    <w:rsid w:val="00C163E0"/>
    <w:rsid w:val="00C17FC2"/>
    <w:rsid w:val="00C2008A"/>
    <w:rsid w:val="00C20C27"/>
    <w:rsid w:val="00C22A56"/>
    <w:rsid w:val="00C2314B"/>
    <w:rsid w:val="00C24633"/>
    <w:rsid w:val="00C25E6F"/>
    <w:rsid w:val="00C25E9C"/>
    <w:rsid w:val="00C26CBB"/>
    <w:rsid w:val="00C32987"/>
    <w:rsid w:val="00C32CD5"/>
    <w:rsid w:val="00C345BE"/>
    <w:rsid w:val="00C35DCD"/>
    <w:rsid w:val="00C40AED"/>
    <w:rsid w:val="00C41171"/>
    <w:rsid w:val="00C43ADD"/>
    <w:rsid w:val="00C44CD9"/>
    <w:rsid w:val="00C47231"/>
    <w:rsid w:val="00C5152B"/>
    <w:rsid w:val="00C51BA9"/>
    <w:rsid w:val="00C53B88"/>
    <w:rsid w:val="00C53CCC"/>
    <w:rsid w:val="00C547DE"/>
    <w:rsid w:val="00C54E46"/>
    <w:rsid w:val="00C56DCD"/>
    <w:rsid w:val="00C70294"/>
    <w:rsid w:val="00C71183"/>
    <w:rsid w:val="00C7498C"/>
    <w:rsid w:val="00C7654E"/>
    <w:rsid w:val="00C770F9"/>
    <w:rsid w:val="00C80310"/>
    <w:rsid w:val="00C8205C"/>
    <w:rsid w:val="00C852EB"/>
    <w:rsid w:val="00C8590F"/>
    <w:rsid w:val="00C85983"/>
    <w:rsid w:val="00C86901"/>
    <w:rsid w:val="00C93CF9"/>
    <w:rsid w:val="00C95178"/>
    <w:rsid w:val="00C95283"/>
    <w:rsid w:val="00C959C8"/>
    <w:rsid w:val="00C95A07"/>
    <w:rsid w:val="00C96097"/>
    <w:rsid w:val="00C97426"/>
    <w:rsid w:val="00C978B2"/>
    <w:rsid w:val="00CA00E9"/>
    <w:rsid w:val="00CA0140"/>
    <w:rsid w:val="00CA017C"/>
    <w:rsid w:val="00CA09D2"/>
    <w:rsid w:val="00CA0E2A"/>
    <w:rsid w:val="00CA19BD"/>
    <w:rsid w:val="00CA7BC0"/>
    <w:rsid w:val="00CB333D"/>
    <w:rsid w:val="00CB3E32"/>
    <w:rsid w:val="00CC1604"/>
    <w:rsid w:val="00CC177E"/>
    <w:rsid w:val="00CC20CA"/>
    <w:rsid w:val="00CC4942"/>
    <w:rsid w:val="00CC681A"/>
    <w:rsid w:val="00CD05CC"/>
    <w:rsid w:val="00CD3C63"/>
    <w:rsid w:val="00CD63A5"/>
    <w:rsid w:val="00CE1539"/>
    <w:rsid w:val="00CE1A89"/>
    <w:rsid w:val="00CE4883"/>
    <w:rsid w:val="00CF01AE"/>
    <w:rsid w:val="00CF0A95"/>
    <w:rsid w:val="00CF2301"/>
    <w:rsid w:val="00CF46E4"/>
    <w:rsid w:val="00CF4B7F"/>
    <w:rsid w:val="00CF4F87"/>
    <w:rsid w:val="00CF5C93"/>
    <w:rsid w:val="00D00AF7"/>
    <w:rsid w:val="00D00E66"/>
    <w:rsid w:val="00D027DA"/>
    <w:rsid w:val="00D0335B"/>
    <w:rsid w:val="00D03C51"/>
    <w:rsid w:val="00D05693"/>
    <w:rsid w:val="00D05CC6"/>
    <w:rsid w:val="00D10C97"/>
    <w:rsid w:val="00D11D2C"/>
    <w:rsid w:val="00D13D08"/>
    <w:rsid w:val="00D1459D"/>
    <w:rsid w:val="00D14718"/>
    <w:rsid w:val="00D14959"/>
    <w:rsid w:val="00D17CB5"/>
    <w:rsid w:val="00D232C0"/>
    <w:rsid w:val="00D23DC3"/>
    <w:rsid w:val="00D247ED"/>
    <w:rsid w:val="00D30135"/>
    <w:rsid w:val="00D3037C"/>
    <w:rsid w:val="00D30E82"/>
    <w:rsid w:val="00D34A34"/>
    <w:rsid w:val="00D3544F"/>
    <w:rsid w:val="00D3545A"/>
    <w:rsid w:val="00D35EDA"/>
    <w:rsid w:val="00D363E0"/>
    <w:rsid w:val="00D36422"/>
    <w:rsid w:val="00D404E8"/>
    <w:rsid w:val="00D42F1D"/>
    <w:rsid w:val="00D43054"/>
    <w:rsid w:val="00D45A27"/>
    <w:rsid w:val="00D47567"/>
    <w:rsid w:val="00D47C64"/>
    <w:rsid w:val="00D520D4"/>
    <w:rsid w:val="00D52EA8"/>
    <w:rsid w:val="00D52EB5"/>
    <w:rsid w:val="00D5461F"/>
    <w:rsid w:val="00D54B8F"/>
    <w:rsid w:val="00D55D8C"/>
    <w:rsid w:val="00D57295"/>
    <w:rsid w:val="00D57BD5"/>
    <w:rsid w:val="00D617D4"/>
    <w:rsid w:val="00D62950"/>
    <w:rsid w:val="00D6371E"/>
    <w:rsid w:val="00D66B4F"/>
    <w:rsid w:val="00D67DD7"/>
    <w:rsid w:val="00D7329D"/>
    <w:rsid w:val="00D769B9"/>
    <w:rsid w:val="00D76D63"/>
    <w:rsid w:val="00D8054E"/>
    <w:rsid w:val="00D80A83"/>
    <w:rsid w:val="00D816B3"/>
    <w:rsid w:val="00D81CB6"/>
    <w:rsid w:val="00D825A0"/>
    <w:rsid w:val="00D82856"/>
    <w:rsid w:val="00D8418F"/>
    <w:rsid w:val="00D84ACD"/>
    <w:rsid w:val="00D85A57"/>
    <w:rsid w:val="00D872A5"/>
    <w:rsid w:val="00D9256B"/>
    <w:rsid w:val="00D93B9C"/>
    <w:rsid w:val="00D95FE3"/>
    <w:rsid w:val="00D97142"/>
    <w:rsid w:val="00DA0A14"/>
    <w:rsid w:val="00DA1E78"/>
    <w:rsid w:val="00DA262E"/>
    <w:rsid w:val="00DA346A"/>
    <w:rsid w:val="00DA3D12"/>
    <w:rsid w:val="00DA5525"/>
    <w:rsid w:val="00DA69CD"/>
    <w:rsid w:val="00DA7D79"/>
    <w:rsid w:val="00DB0AC0"/>
    <w:rsid w:val="00DB0DE1"/>
    <w:rsid w:val="00DB119A"/>
    <w:rsid w:val="00DB121D"/>
    <w:rsid w:val="00DB33C2"/>
    <w:rsid w:val="00DB3B1A"/>
    <w:rsid w:val="00DB4D7C"/>
    <w:rsid w:val="00DC0154"/>
    <w:rsid w:val="00DC60F6"/>
    <w:rsid w:val="00DC6E48"/>
    <w:rsid w:val="00DC733E"/>
    <w:rsid w:val="00DD12A9"/>
    <w:rsid w:val="00DD36B1"/>
    <w:rsid w:val="00DD36E5"/>
    <w:rsid w:val="00DD76FA"/>
    <w:rsid w:val="00DE159C"/>
    <w:rsid w:val="00DE349C"/>
    <w:rsid w:val="00DE6A9F"/>
    <w:rsid w:val="00DF01DD"/>
    <w:rsid w:val="00DF138B"/>
    <w:rsid w:val="00DF2C50"/>
    <w:rsid w:val="00DF47F8"/>
    <w:rsid w:val="00DF52E8"/>
    <w:rsid w:val="00DF5D54"/>
    <w:rsid w:val="00DF7505"/>
    <w:rsid w:val="00DF7EFA"/>
    <w:rsid w:val="00E00DD2"/>
    <w:rsid w:val="00E045CF"/>
    <w:rsid w:val="00E04FEF"/>
    <w:rsid w:val="00E06064"/>
    <w:rsid w:val="00E0656C"/>
    <w:rsid w:val="00E1353C"/>
    <w:rsid w:val="00E13B94"/>
    <w:rsid w:val="00E14E29"/>
    <w:rsid w:val="00E1503B"/>
    <w:rsid w:val="00E15DCF"/>
    <w:rsid w:val="00E16A9A"/>
    <w:rsid w:val="00E177E1"/>
    <w:rsid w:val="00E17D64"/>
    <w:rsid w:val="00E205C9"/>
    <w:rsid w:val="00E211C3"/>
    <w:rsid w:val="00E23423"/>
    <w:rsid w:val="00E36C07"/>
    <w:rsid w:val="00E4062C"/>
    <w:rsid w:val="00E41DFF"/>
    <w:rsid w:val="00E422E6"/>
    <w:rsid w:val="00E428EC"/>
    <w:rsid w:val="00E43856"/>
    <w:rsid w:val="00E43EDF"/>
    <w:rsid w:val="00E454D0"/>
    <w:rsid w:val="00E4622E"/>
    <w:rsid w:val="00E479D6"/>
    <w:rsid w:val="00E50199"/>
    <w:rsid w:val="00E51198"/>
    <w:rsid w:val="00E515D1"/>
    <w:rsid w:val="00E51899"/>
    <w:rsid w:val="00E5285A"/>
    <w:rsid w:val="00E52873"/>
    <w:rsid w:val="00E54CFB"/>
    <w:rsid w:val="00E56045"/>
    <w:rsid w:val="00E618F7"/>
    <w:rsid w:val="00E624D9"/>
    <w:rsid w:val="00E672FE"/>
    <w:rsid w:val="00E6742E"/>
    <w:rsid w:val="00E701EF"/>
    <w:rsid w:val="00E73C7D"/>
    <w:rsid w:val="00E754AD"/>
    <w:rsid w:val="00E81233"/>
    <w:rsid w:val="00E85281"/>
    <w:rsid w:val="00E87D2B"/>
    <w:rsid w:val="00E90D4B"/>
    <w:rsid w:val="00E90D7D"/>
    <w:rsid w:val="00E92375"/>
    <w:rsid w:val="00E94E79"/>
    <w:rsid w:val="00EA1081"/>
    <w:rsid w:val="00EA2BF9"/>
    <w:rsid w:val="00EA2C0F"/>
    <w:rsid w:val="00EA3126"/>
    <w:rsid w:val="00EA4AA9"/>
    <w:rsid w:val="00EA7F83"/>
    <w:rsid w:val="00EB02C9"/>
    <w:rsid w:val="00EB0710"/>
    <w:rsid w:val="00EB0897"/>
    <w:rsid w:val="00EB4DF0"/>
    <w:rsid w:val="00EB64F4"/>
    <w:rsid w:val="00EB6ED5"/>
    <w:rsid w:val="00EB72A2"/>
    <w:rsid w:val="00EB72CD"/>
    <w:rsid w:val="00EC31C9"/>
    <w:rsid w:val="00EC5FBD"/>
    <w:rsid w:val="00EC7E07"/>
    <w:rsid w:val="00ED074D"/>
    <w:rsid w:val="00ED10E6"/>
    <w:rsid w:val="00ED20FD"/>
    <w:rsid w:val="00ED50D6"/>
    <w:rsid w:val="00ED5FC8"/>
    <w:rsid w:val="00ED64A6"/>
    <w:rsid w:val="00ED6A57"/>
    <w:rsid w:val="00ED7723"/>
    <w:rsid w:val="00ED7F5D"/>
    <w:rsid w:val="00EE0987"/>
    <w:rsid w:val="00EE28CB"/>
    <w:rsid w:val="00EE2F56"/>
    <w:rsid w:val="00EE3DBA"/>
    <w:rsid w:val="00EE66C1"/>
    <w:rsid w:val="00EF0569"/>
    <w:rsid w:val="00EF1F68"/>
    <w:rsid w:val="00EF5A9E"/>
    <w:rsid w:val="00EF5AF5"/>
    <w:rsid w:val="00EF5EEF"/>
    <w:rsid w:val="00EF6265"/>
    <w:rsid w:val="00EF6FFB"/>
    <w:rsid w:val="00F0108E"/>
    <w:rsid w:val="00F01426"/>
    <w:rsid w:val="00F0488D"/>
    <w:rsid w:val="00F05320"/>
    <w:rsid w:val="00F06A8E"/>
    <w:rsid w:val="00F06CC3"/>
    <w:rsid w:val="00F07B1A"/>
    <w:rsid w:val="00F07FDB"/>
    <w:rsid w:val="00F107E7"/>
    <w:rsid w:val="00F10832"/>
    <w:rsid w:val="00F1344B"/>
    <w:rsid w:val="00F14269"/>
    <w:rsid w:val="00F154E6"/>
    <w:rsid w:val="00F16E10"/>
    <w:rsid w:val="00F21BBD"/>
    <w:rsid w:val="00F224FD"/>
    <w:rsid w:val="00F23207"/>
    <w:rsid w:val="00F24768"/>
    <w:rsid w:val="00F263FC"/>
    <w:rsid w:val="00F27D12"/>
    <w:rsid w:val="00F34CCE"/>
    <w:rsid w:val="00F34DA2"/>
    <w:rsid w:val="00F377D1"/>
    <w:rsid w:val="00F4077E"/>
    <w:rsid w:val="00F43B0F"/>
    <w:rsid w:val="00F43C4E"/>
    <w:rsid w:val="00F44D01"/>
    <w:rsid w:val="00F452D9"/>
    <w:rsid w:val="00F5015B"/>
    <w:rsid w:val="00F550FE"/>
    <w:rsid w:val="00F55D23"/>
    <w:rsid w:val="00F565A9"/>
    <w:rsid w:val="00F57895"/>
    <w:rsid w:val="00F57F1B"/>
    <w:rsid w:val="00F622BF"/>
    <w:rsid w:val="00F624FA"/>
    <w:rsid w:val="00F6263C"/>
    <w:rsid w:val="00F6266C"/>
    <w:rsid w:val="00F62E12"/>
    <w:rsid w:val="00F647DB"/>
    <w:rsid w:val="00F64D0C"/>
    <w:rsid w:val="00F66127"/>
    <w:rsid w:val="00F71170"/>
    <w:rsid w:val="00F71C87"/>
    <w:rsid w:val="00F7462E"/>
    <w:rsid w:val="00F75008"/>
    <w:rsid w:val="00F751C7"/>
    <w:rsid w:val="00F76A94"/>
    <w:rsid w:val="00F76C19"/>
    <w:rsid w:val="00F803F5"/>
    <w:rsid w:val="00F828B0"/>
    <w:rsid w:val="00F8361A"/>
    <w:rsid w:val="00F8474D"/>
    <w:rsid w:val="00F879E0"/>
    <w:rsid w:val="00F90FA5"/>
    <w:rsid w:val="00F9485E"/>
    <w:rsid w:val="00F94F41"/>
    <w:rsid w:val="00F95014"/>
    <w:rsid w:val="00F96E5D"/>
    <w:rsid w:val="00FA1134"/>
    <w:rsid w:val="00FA145F"/>
    <w:rsid w:val="00FA2DA4"/>
    <w:rsid w:val="00FA3610"/>
    <w:rsid w:val="00FA365A"/>
    <w:rsid w:val="00FA3693"/>
    <w:rsid w:val="00FA44ED"/>
    <w:rsid w:val="00FA5951"/>
    <w:rsid w:val="00FA64A9"/>
    <w:rsid w:val="00FB1D94"/>
    <w:rsid w:val="00FB43E7"/>
    <w:rsid w:val="00FB4F83"/>
    <w:rsid w:val="00FC04EE"/>
    <w:rsid w:val="00FC2E85"/>
    <w:rsid w:val="00FC3A68"/>
    <w:rsid w:val="00FD0AC0"/>
    <w:rsid w:val="00FD28CA"/>
    <w:rsid w:val="00FD37DF"/>
    <w:rsid w:val="00FD5CAF"/>
    <w:rsid w:val="00FD7C22"/>
    <w:rsid w:val="00FE01D7"/>
    <w:rsid w:val="00FE0243"/>
    <w:rsid w:val="00FE12FB"/>
    <w:rsid w:val="00FE2BCF"/>
    <w:rsid w:val="00FE4BBC"/>
    <w:rsid w:val="00FE4F02"/>
    <w:rsid w:val="00FE5D7C"/>
    <w:rsid w:val="00FF0B1D"/>
    <w:rsid w:val="00FF12D9"/>
    <w:rsid w:val="00FF1475"/>
    <w:rsid w:val="00FF1B9A"/>
    <w:rsid w:val="00FF418B"/>
    <w:rsid w:val="00FF476B"/>
    <w:rsid w:val="00FF689F"/>
    <w:rsid w:val="00FF71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463"/>
  </w:style>
  <w:style w:type="paragraph" w:styleId="Ttulo1">
    <w:name w:val="heading 1"/>
    <w:basedOn w:val="Normal"/>
    <w:next w:val="Normal"/>
    <w:link w:val="Ttulo1Char"/>
    <w:qFormat/>
    <w:rsid w:val="00A952D3"/>
    <w:pPr>
      <w:keepNext/>
      <w:spacing w:after="0" w:line="240" w:lineRule="auto"/>
      <w:jc w:val="center"/>
      <w:outlineLvl w:val="0"/>
    </w:pPr>
    <w:rPr>
      <w:rFonts w:ascii="Arial" w:eastAsia="Times New Roman" w:hAnsi="Arial" w:cs="Arial"/>
      <w:b/>
      <w:bCs/>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F6E0B"/>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semiHidden/>
    <w:rsid w:val="00BF6E0B"/>
    <w:rPr>
      <w:rFonts w:eastAsiaTheme="minorEastAsia"/>
      <w:sz w:val="20"/>
      <w:szCs w:val="20"/>
      <w:lang w:eastAsia="pt-BR"/>
    </w:rPr>
  </w:style>
  <w:style w:type="character" w:styleId="Refdenotaderodap">
    <w:name w:val="footnote reference"/>
    <w:basedOn w:val="Fontepargpadro"/>
    <w:uiPriority w:val="99"/>
    <w:semiHidden/>
    <w:unhideWhenUsed/>
    <w:rsid w:val="00BF6E0B"/>
    <w:rPr>
      <w:vertAlign w:val="superscript"/>
    </w:rPr>
  </w:style>
  <w:style w:type="paragraph" w:styleId="Cabealho">
    <w:name w:val="header"/>
    <w:basedOn w:val="Normal"/>
    <w:link w:val="CabealhoChar"/>
    <w:uiPriority w:val="99"/>
    <w:unhideWhenUsed/>
    <w:rsid w:val="005F77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77DA"/>
  </w:style>
  <w:style w:type="paragraph" w:styleId="Rodap">
    <w:name w:val="footer"/>
    <w:basedOn w:val="Normal"/>
    <w:link w:val="RodapChar"/>
    <w:unhideWhenUsed/>
    <w:rsid w:val="005F77D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F77DA"/>
  </w:style>
  <w:style w:type="paragraph" w:styleId="Textodebalo">
    <w:name w:val="Balloon Text"/>
    <w:basedOn w:val="Normal"/>
    <w:link w:val="TextodebaloChar"/>
    <w:uiPriority w:val="99"/>
    <w:semiHidden/>
    <w:unhideWhenUsed/>
    <w:rsid w:val="005F77D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77DA"/>
    <w:rPr>
      <w:rFonts w:ascii="Tahoma" w:hAnsi="Tahoma" w:cs="Tahoma"/>
      <w:sz w:val="16"/>
      <w:szCs w:val="16"/>
    </w:rPr>
  </w:style>
  <w:style w:type="paragraph" w:styleId="Corpodetexto">
    <w:name w:val="Body Text"/>
    <w:basedOn w:val="Normal"/>
    <w:link w:val="CorpodetextoChar"/>
    <w:rsid w:val="005F77DA"/>
    <w:pPr>
      <w:spacing w:after="0" w:line="240" w:lineRule="auto"/>
      <w:jc w:val="center"/>
    </w:pPr>
    <w:rPr>
      <w:rFonts w:ascii="Times New Roman" w:eastAsia="Times New Roman" w:hAnsi="Times New Roman" w:cs="Times New Roman"/>
      <w:b/>
      <w:bCs/>
      <w:sz w:val="32"/>
      <w:szCs w:val="24"/>
      <w:lang w:eastAsia="pt-BR"/>
    </w:rPr>
  </w:style>
  <w:style w:type="character" w:customStyle="1" w:styleId="CorpodetextoChar">
    <w:name w:val="Corpo de texto Char"/>
    <w:basedOn w:val="Fontepargpadro"/>
    <w:link w:val="Corpodetexto"/>
    <w:rsid w:val="005F77DA"/>
    <w:rPr>
      <w:rFonts w:ascii="Times New Roman" w:eastAsia="Times New Roman" w:hAnsi="Times New Roman" w:cs="Times New Roman"/>
      <w:b/>
      <w:bCs/>
      <w:sz w:val="32"/>
      <w:szCs w:val="24"/>
      <w:lang w:eastAsia="pt-BR"/>
    </w:rPr>
  </w:style>
  <w:style w:type="character" w:styleId="Nmerodepgina">
    <w:name w:val="page number"/>
    <w:basedOn w:val="Fontepargpadro"/>
    <w:rsid w:val="005F77DA"/>
  </w:style>
  <w:style w:type="character" w:customStyle="1" w:styleId="Ttulo1Char">
    <w:name w:val="Título 1 Char"/>
    <w:basedOn w:val="Fontepargpadro"/>
    <w:link w:val="Ttulo1"/>
    <w:rsid w:val="00A952D3"/>
    <w:rPr>
      <w:rFonts w:ascii="Arial" w:eastAsia="Times New Roman" w:hAnsi="Arial" w:cs="Arial"/>
      <w:b/>
      <w:bCs/>
      <w:sz w:val="28"/>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F6E0B"/>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semiHidden/>
    <w:rsid w:val="00BF6E0B"/>
    <w:rPr>
      <w:rFonts w:eastAsiaTheme="minorEastAsia"/>
      <w:sz w:val="20"/>
      <w:szCs w:val="20"/>
      <w:lang w:eastAsia="pt-BR"/>
    </w:rPr>
  </w:style>
  <w:style w:type="character" w:styleId="Refdenotaderodap">
    <w:name w:val="footnote reference"/>
    <w:basedOn w:val="Fontepargpadro"/>
    <w:uiPriority w:val="99"/>
    <w:semiHidden/>
    <w:unhideWhenUsed/>
    <w:rsid w:val="00BF6E0B"/>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6</Pages>
  <Words>2245</Words>
  <Characters>12127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Alexandre-pc</dc:creator>
  <cp:lastModifiedBy>user</cp:lastModifiedBy>
  <cp:revision>6</cp:revision>
  <cp:lastPrinted>2017-04-27T12:44:00Z</cp:lastPrinted>
  <dcterms:created xsi:type="dcterms:W3CDTF">2017-04-20T14:25:00Z</dcterms:created>
  <dcterms:modified xsi:type="dcterms:W3CDTF">2017-04-27T19:30:00Z</dcterms:modified>
</cp:coreProperties>
</file>