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EF" w:rsidRDefault="00A33BEF" w:rsidP="00C9094F">
      <w:pPr>
        <w:ind w:firstLine="2977"/>
        <w:jc w:val="both"/>
        <w:rPr>
          <w:b/>
          <w:iCs/>
          <w:sz w:val="24"/>
          <w:szCs w:val="24"/>
        </w:rPr>
      </w:pPr>
    </w:p>
    <w:p w:rsidR="00A33BEF" w:rsidRDefault="00A33BEF" w:rsidP="00C9094F">
      <w:pPr>
        <w:ind w:firstLine="2977"/>
        <w:jc w:val="both"/>
        <w:rPr>
          <w:b/>
          <w:iCs/>
          <w:sz w:val="24"/>
          <w:szCs w:val="24"/>
        </w:rPr>
      </w:pPr>
    </w:p>
    <w:p w:rsidR="00C9094F" w:rsidRPr="00112720" w:rsidRDefault="00C9094F" w:rsidP="00C9094F">
      <w:pPr>
        <w:ind w:firstLine="2977"/>
        <w:jc w:val="both"/>
        <w:rPr>
          <w:b/>
          <w:iCs/>
          <w:sz w:val="24"/>
          <w:szCs w:val="24"/>
        </w:rPr>
      </w:pPr>
      <w:r w:rsidRPr="00112720">
        <w:rPr>
          <w:b/>
          <w:iCs/>
          <w:sz w:val="24"/>
          <w:szCs w:val="24"/>
        </w:rPr>
        <w:t>DECRETO Nº 780/2013-GAPRE</w:t>
      </w:r>
    </w:p>
    <w:p w:rsidR="00C9094F" w:rsidRPr="00112720" w:rsidRDefault="00C9094F" w:rsidP="00C9094F">
      <w:pPr>
        <w:pStyle w:val="Recuodecorpodetexto"/>
        <w:ind w:left="2977"/>
        <w:rPr>
          <w:iCs/>
          <w:sz w:val="24"/>
          <w:szCs w:val="24"/>
        </w:rPr>
      </w:pPr>
    </w:p>
    <w:p w:rsidR="00C9094F" w:rsidRPr="00112720" w:rsidRDefault="00C9094F" w:rsidP="00C9094F">
      <w:pPr>
        <w:spacing w:before="240"/>
        <w:ind w:left="2977" w:right="-81"/>
        <w:jc w:val="both"/>
        <w:rPr>
          <w:iCs/>
          <w:sz w:val="24"/>
          <w:szCs w:val="24"/>
        </w:rPr>
      </w:pPr>
      <w:r w:rsidRPr="00112720">
        <w:rPr>
          <w:iCs/>
          <w:sz w:val="24"/>
          <w:szCs w:val="24"/>
        </w:rPr>
        <w:t>“</w:t>
      </w:r>
      <w:r w:rsidRPr="00112720">
        <w:rPr>
          <w:b/>
          <w:bCs/>
          <w:iCs/>
          <w:sz w:val="24"/>
          <w:szCs w:val="24"/>
        </w:rPr>
        <w:t>Cria a junta Administrativa de Indenizações, junto à Procuradoria do Município e aprova seu regimento Interno”.</w:t>
      </w:r>
    </w:p>
    <w:p w:rsidR="00C9094F" w:rsidRPr="00112720" w:rsidRDefault="00C9094F" w:rsidP="00C9094F">
      <w:pPr>
        <w:pStyle w:val="Recuodecorpodetexto"/>
        <w:ind w:left="2977"/>
        <w:rPr>
          <w:iCs/>
          <w:sz w:val="24"/>
          <w:szCs w:val="24"/>
        </w:rPr>
      </w:pPr>
    </w:p>
    <w:p w:rsidR="00C9094F" w:rsidRPr="00112720" w:rsidRDefault="00C9094F" w:rsidP="00C9094F">
      <w:pPr>
        <w:pStyle w:val="Recuodecorpodetexto3"/>
        <w:ind w:firstLine="2694"/>
        <w:jc w:val="both"/>
        <w:rPr>
          <w:iCs/>
          <w:sz w:val="24"/>
          <w:szCs w:val="24"/>
        </w:rPr>
      </w:pPr>
      <w:r w:rsidRPr="00112720">
        <w:rPr>
          <w:iCs/>
          <w:sz w:val="24"/>
          <w:szCs w:val="24"/>
        </w:rPr>
        <w:t xml:space="preserve">O Senhor </w:t>
      </w:r>
      <w:r w:rsidRPr="00112720">
        <w:rPr>
          <w:b/>
          <w:iCs/>
          <w:sz w:val="24"/>
          <w:szCs w:val="24"/>
        </w:rPr>
        <w:t xml:space="preserve">Reinaldo </w:t>
      </w:r>
      <w:proofErr w:type="spellStart"/>
      <w:r w:rsidRPr="00112720">
        <w:rPr>
          <w:b/>
          <w:iCs/>
          <w:sz w:val="24"/>
          <w:szCs w:val="24"/>
        </w:rPr>
        <w:t>Krachinski</w:t>
      </w:r>
      <w:proofErr w:type="spellEnd"/>
      <w:r w:rsidRPr="00112720">
        <w:rPr>
          <w:iCs/>
          <w:sz w:val="24"/>
          <w:szCs w:val="24"/>
        </w:rPr>
        <w:t>, Prefeito do Município de Quarto Centenário, Estado do Paraná,</w:t>
      </w:r>
      <w:r w:rsidRPr="00112720">
        <w:rPr>
          <w:bCs/>
          <w:sz w:val="24"/>
          <w:szCs w:val="24"/>
        </w:rPr>
        <w:t xml:space="preserve"> no </w:t>
      </w:r>
      <w:smartTag w:uri="schemas-houaiss/mini" w:element="verbetes">
        <w:r w:rsidRPr="00112720">
          <w:rPr>
            <w:bCs/>
            <w:sz w:val="24"/>
            <w:szCs w:val="24"/>
          </w:rPr>
          <w:t>uso</w:t>
        </w:r>
      </w:smartTag>
      <w:r w:rsidRPr="00112720">
        <w:rPr>
          <w:bCs/>
          <w:sz w:val="24"/>
          <w:szCs w:val="24"/>
        </w:rPr>
        <w:t xml:space="preserve"> de </w:t>
      </w:r>
      <w:smartTag w:uri="schemas-houaiss/mini" w:element="verbetes">
        <w:r w:rsidRPr="00112720">
          <w:rPr>
            <w:bCs/>
            <w:sz w:val="24"/>
            <w:szCs w:val="24"/>
          </w:rPr>
          <w:t>suas</w:t>
        </w:r>
      </w:smartTag>
      <w:r w:rsidRPr="00112720">
        <w:rPr>
          <w:bCs/>
          <w:sz w:val="24"/>
          <w:szCs w:val="24"/>
        </w:rPr>
        <w:t xml:space="preserve"> </w:t>
      </w:r>
      <w:smartTag w:uri="schemas-houaiss/mini" w:element="verbetes">
        <w:r w:rsidRPr="00112720">
          <w:rPr>
            <w:bCs/>
            <w:sz w:val="24"/>
            <w:szCs w:val="24"/>
          </w:rPr>
          <w:t>atribuições</w:t>
        </w:r>
      </w:smartTag>
      <w:r w:rsidRPr="00112720">
        <w:rPr>
          <w:bCs/>
          <w:sz w:val="24"/>
          <w:szCs w:val="24"/>
        </w:rPr>
        <w:t xml:space="preserve"> </w:t>
      </w:r>
      <w:smartTag w:uri="schemas-houaiss/mini" w:element="verbetes">
        <w:r w:rsidRPr="00112720">
          <w:rPr>
            <w:bCs/>
            <w:sz w:val="24"/>
            <w:szCs w:val="24"/>
          </w:rPr>
          <w:t>legais</w:t>
        </w:r>
      </w:smartTag>
      <w:r w:rsidRPr="00112720">
        <w:rPr>
          <w:bCs/>
          <w:sz w:val="24"/>
          <w:szCs w:val="24"/>
        </w:rPr>
        <w:t xml:space="preserve"> e </w:t>
      </w:r>
      <w:smartTag w:uri="schemas-houaiss/mini" w:element="verbetes">
        <w:r w:rsidRPr="00112720">
          <w:rPr>
            <w:sz w:val="24"/>
            <w:szCs w:val="24"/>
          </w:rPr>
          <w:t>com</w:t>
        </w:r>
      </w:smartTag>
      <w:r w:rsidRPr="00112720">
        <w:rPr>
          <w:sz w:val="24"/>
          <w:szCs w:val="24"/>
        </w:rPr>
        <w:t xml:space="preserve"> respaldo na </w:t>
      </w:r>
      <w:smartTag w:uri="schemas-houaiss/mini" w:element="verbetes">
        <w:r w:rsidRPr="00112720">
          <w:rPr>
            <w:sz w:val="24"/>
            <w:szCs w:val="24"/>
          </w:rPr>
          <w:t>alínea</w:t>
        </w:r>
      </w:smartTag>
      <w:r w:rsidRPr="00112720">
        <w:rPr>
          <w:sz w:val="24"/>
          <w:szCs w:val="24"/>
        </w:rPr>
        <w:t xml:space="preserve"> “a”, </w:t>
      </w:r>
      <w:smartTag w:uri="schemas-houaiss/mini" w:element="verbetes">
        <w:r w:rsidRPr="00112720">
          <w:rPr>
            <w:sz w:val="24"/>
            <w:szCs w:val="24"/>
          </w:rPr>
          <w:t>Inciso</w:t>
        </w:r>
      </w:smartTag>
      <w:r w:rsidRPr="00112720">
        <w:rPr>
          <w:sz w:val="24"/>
          <w:szCs w:val="24"/>
        </w:rPr>
        <w:t xml:space="preserve"> I, do </w:t>
      </w:r>
      <w:smartTag w:uri="schemas-houaiss/mini" w:element="verbetes">
        <w:r w:rsidRPr="00112720">
          <w:rPr>
            <w:sz w:val="24"/>
            <w:szCs w:val="24"/>
          </w:rPr>
          <w:t>Artigo</w:t>
        </w:r>
      </w:smartTag>
      <w:r w:rsidRPr="00112720">
        <w:rPr>
          <w:sz w:val="24"/>
          <w:szCs w:val="24"/>
        </w:rPr>
        <w:t xml:space="preserve"> 131 da </w:t>
      </w:r>
      <w:smartTag w:uri="schemas-houaiss/mini" w:element="verbetes">
        <w:r w:rsidRPr="00112720">
          <w:rPr>
            <w:sz w:val="24"/>
            <w:szCs w:val="24"/>
          </w:rPr>
          <w:t>Lei</w:t>
        </w:r>
      </w:smartTag>
      <w:r w:rsidRPr="00112720">
        <w:rPr>
          <w:sz w:val="24"/>
          <w:szCs w:val="24"/>
        </w:rPr>
        <w:t xml:space="preserve"> </w:t>
      </w:r>
      <w:smartTag w:uri="schemas-houaiss/mini" w:element="verbetes">
        <w:r w:rsidRPr="00112720">
          <w:rPr>
            <w:sz w:val="24"/>
            <w:szCs w:val="24"/>
          </w:rPr>
          <w:t>Orgânica</w:t>
        </w:r>
      </w:smartTag>
      <w:r w:rsidRPr="00112720">
        <w:rPr>
          <w:sz w:val="24"/>
          <w:szCs w:val="24"/>
        </w:rPr>
        <w:t xml:space="preserve"> do Município</w:t>
      </w:r>
      <w:r w:rsidRPr="00112720">
        <w:rPr>
          <w:iCs/>
          <w:sz w:val="24"/>
          <w:szCs w:val="24"/>
        </w:rPr>
        <w:t xml:space="preserve">, </w:t>
      </w:r>
      <w:r w:rsidR="00112720">
        <w:rPr>
          <w:sz w:val="24"/>
          <w:szCs w:val="24"/>
        </w:rPr>
        <w:t xml:space="preserve">e de acordo com </w:t>
      </w:r>
      <w:r w:rsidR="003702A7">
        <w:rPr>
          <w:sz w:val="24"/>
          <w:szCs w:val="24"/>
        </w:rPr>
        <w:t xml:space="preserve">a </w:t>
      </w:r>
      <w:r w:rsidRPr="00112720">
        <w:rPr>
          <w:sz w:val="24"/>
          <w:szCs w:val="24"/>
        </w:rPr>
        <w:t>previsão no art. 37, §6º, da Constituição Federal.</w:t>
      </w:r>
    </w:p>
    <w:p w:rsidR="00C9094F" w:rsidRPr="00112720" w:rsidRDefault="00C9094F" w:rsidP="00112720">
      <w:pPr>
        <w:pStyle w:val="Recuodecorpodetexto3"/>
        <w:ind w:firstLine="2694"/>
        <w:jc w:val="both"/>
        <w:rPr>
          <w:bCs/>
          <w:iCs/>
          <w:sz w:val="24"/>
          <w:szCs w:val="24"/>
        </w:rPr>
      </w:pPr>
      <w:r w:rsidRPr="00112720">
        <w:rPr>
          <w:bCs/>
          <w:iCs/>
          <w:sz w:val="24"/>
          <w:szCs w:val="24"/>
        </w:rPr>
        <w:t>Considerando a necessidade de</w:t>
      </w:r>
      <w:r w:rsidR="00112720" w:rsidRPr="00112720">
        <w:rPr>
          <w:bCs/>
          <w:iCs/>
          <w:sz w:val="24"/>
          <w:szCs w:val="24"/>
        </w:rPr>
        <w:t xml:space="preserve"> e</w:t>
      </w:r>
      <w:r w:rsidRPr="00112720">
        <w:rPr>
          <w:bCs/>
          <w:iCs/>
          <w:sz w:val="24"/>
          <w:szCs w:val="24"/>
        </w:rPr>
        <w:t>stabelecer procedimentos uniformes e ágeis no exame dos pedidos administrativos de indenização por danos causados pelo Município a particulares;</w:t>
      </w:r>
    </w:p>
    <w:p w:rsidR="00C9094F" w:rsidRPr="00112720" w:rsidRDefault="00C9094F" w:rsidP="00112720">
      <w:pPr>
        <w:pStyle w:val="Recuodecorpodetexto3"/>
        <w:ind w:firstLine="2694"/>
        <w:jc w:val="both"/>
        <w:rPr>
          <w:bCs/>
          <w:iCs/>
          <w:sz w:val="24"/>
          <w:szCs w:val="24"/>
        </w:rPr>
      </w:pPr>
      <w:r w:rsidRPr="00112720">
        <w:rPr>
          <w:bCs/>
          <w:iCs/>
          <w:sz w:val="24"/>
          <w:szCs w:val="24"/>
        </w:rPr>
        <w:t>Considerando que o exame de pedidos indenizatórios por um órgão colegiado proporcionará maior transferência e segurança jurídica nas decisões administrativas,</w:t>
      </w:r>
    </w:p>
    <w:p w:rsidR="00C9094F" w:rsidRPr="00112720" w:rsidRDefault="00C9094F" w:rsidP="00C9094F">
      <w:pPr>
        <w:ind w:firstLine="2977"/>
        <w:jc w:val="both"/>
        <w:rPr>
          <w:b/>
          <w:iCs/>
          <w:caps/>
          <w:sz w:val="24"/>
          <w:szCs w:val="24"/>
        </w:rPr>
      </w:pPr>
    </w:p>
    <w:p w:rsidR="00112720" w:rsidRDefault="00112720" w:rsidP="00C9094F">
      <w:pPr>
        <w:ind w:firstLine="2977"/>
        <w:jc w:val="both"/>
        <w:rPr>
          <w:b/>
          <w:iCs/>
          <w:caps/>
          <w:sz w:val="24"/>
          <w:szCs w:val="24"/>
        </w:rPr>
      </w:pPr>
    </w:p>
    <w:p w:rsidR="00C9094F" w:rsidRPr="00112720" w:rsidRDefault="00C9094F" w:rsidP="00C9094F">
      <w:pPr>
        <w:ind w:firstLine="2977"/>
        <w:jc w:val="both"/>
        <w:rPr>
          <w:b/>
          <w:iCs/>
          <w:caps/>
          <w:sz w:val="24"/>
          <w:szCs w:val="24"/>
        </w:rPr>
      </w:pPr>
      <w:r w:rsidRPr="00112720">
        <w:rPr>
          <w:b/>
          <w:iCs/>
          <w:caps/>
          <w:sz w:val="24"/>
          <w:szCs w:val="24"/>
        </w:rPr>
        <w:t>Decreta:</w:t>
      </w:r>
    </w:p>
    <w:p w:rsidR="00C9094F" w:rsidRPr="00112720" w:rsidRDefault="00C9094F" w:rsidP="00C9094F">
      <w:pPr>
        <w:ind w:firstLine="2977"/>
        <w:jc w:val="both"/>
        <w:rPr>
          <w:b/>
          <w:iCs/>
          <w:caps/>
          <w:sz w:val="24"/>
          <w:szCs w:val="24"/>
        </w:rPr>
      </w:pP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b/>
          <w:bCs/>
          <w:color w:val="000000"/>
          <w:sz w:val="24"/>
          <w:szCs w:val="24"/>
        </w:rPr>
        <w:t>Art. 1º</w:t>
      </w:r>
      <w:r w:rsidRPr="00112720">
        <w:rPr>
          <w:color w:val="000000"/>
          <w:sz w:val="24"/>
          <w:szCs w:val="24"/>
        </w:rPr>
        <w:t> - Fica criada a Junta Administrativa de Indenizações, lotada junto à Procuradoria Geral do Município e constituída de seis membros, sendo três titulares e três suplentes, devendo, no mínimo, dois terços serem de servidores Públicos Municipais.</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b/>
          <w:bCs/>
          <w:color w:val="000000"/>
          <w:sz w:val="24"/>
          <w:szCs w:val="24"/>
        </w:rPr>
        <w:t>Art. 2º</w:t>
      </w:r>
      <w:r w:rsidRPr="00112720">
        <w:rPr>
          <w:color w:val="000000"/>
          <w:sz w:val="24"/>
          <w:szCs w:val="24"/>
        </w:rPr>
        <w:t> - Compete à Junta Administrativa de Indenizações o exame, na forma de seu regimento interno, dos pedidos administrativos de indenização, decorrentes de danos causados pelos órgãos da Administração Centralizada do Município a terceiros, segundo preceito previsto no §6º, do art. 37, da Constituição Federal.</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color w:val="000000"/>
          <w:sz w:val="24"/>
          <w:szCs w:val="24"/>
        </w:rPr>
        <w:t>§1º - A Junta Administrativa terá competência para diligenciar junto aos demais órgãos municipais, podendo, inclusive, requisitar a oitiva e auxílio técnico de servidores municipais, a fim de instruir o procedimento administrativo de indenização.</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color w:val="000000"/>
          <w:sz w:val="24"/>
          <w:szCs w:val="24"/>
        </w:rPr>
        <w:t>§2º - A Junta Administrativa deverá encaminhar as providências para apurar eventual falta funcional dos servidores envolvidos nos fatos, objeto de pedido indenizatório, nos termos da legislação disciplinar vigente, independente da procedência deste, bem como das medidas de exercício do direito de regresso em favor do Município.</w:t>
      </w:r>
    </w:p>
    <w:p w:rsidR="00112720" w:rsidRPr="00112720" w:rsidRDefault="00112720" w:rsidP="00112720">
      <w:pPr>
        <w:shd w:val="clear" w:color="auto" w:fill="FFFFFF"/>
        <w:tabs>
          <w:tab w:val="left" w:pos="2977"/>
        </w:tabs>
        <w:spacing w:before="100" w:beforeAutospacing="1" w:after="100" w:afterAutospacing="1"/>
        <w:ind w:firstLine="2977"/>
        <w:jc w:val="both"/>
        <w:rPr>
          <w:color w:val="000000"/>
          <w:sz w:val="24"/>
          <w:szCs w:val="24"/>
        </w:rPr>
      </w:pPr>
      <w:r w:rsidRPr="00112720">
        <w:rPr>
          <w:color w:val="000000"/>
          <w:sz w:val="24"/>
          <w:szCs w:val="24"/>
        </w:rPr>
        <w:t>§3º - É delegada ao Procurador do Município a competência para deferir ou indeferir o pedido de indenização administrativa, cabendo, de sua decisão, pedido de reconsideração.</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color w:val="000000"/>
          <w:sz w:val="24"/>
          <w:szCs w:val="24"/>
        </w:rPr>
        <w:lastRenderedPageBreak/>
        <w:t>§ 4º - No caso de deferimento do pedido de indenização no valor superior a R$ 15.000,00 (quinze mil reais), da decisão caberá reexame necessário ao Prefeito Municipal.</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color w:val="000000"/>
          <w:sz w:val="24"/>
          <w:szCs w:val="24"/>
        </w:rPr>
        <w:t>§ 5º - O valor previsto no parágrafo anterior será atualizado pelo Índice Geral de Preços de Mercado (IGP-M), da Fundação Getúlio Vargas, passando a vigorar no início de cada exercício financeiro.</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b/>
          <w:bCs/>
          <w:color w:val="000000"/>
          <w:sz w:val="24"/>
          <w:szCs w:val="24"/>
        </w:rPr>
        <w:t>Art. 3º</w:t>
      </w:r>
      <w:r w:rsidRPr="00112720">
        <w:rPr>
          <w:color w:val="000000"/>
          <w:sz w:val="24"/>
          <w:szCs w:val="24"/>
        </w:rPr>
        <w:t> - Os membros da Junta Administrativa serão designados e destituídos mediante portaria do Prefeito Municipal;</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b/>
          <w:bCs/>
          <w:color w:val="000000"/>
          <w:sz w:val="24"/>
          <w:szCs w:val="24"/>
        </w:rPr>
        <w:t>Art. 4º</w:t>
      </w:r>
      <w:r w:rsidRPr="00112720">
        <w:rPr>
          <w:color w:val="000000"/>
          <w:sz w:val="24"/>
          <w:szCs w:val="24"/>
        </w:rPr>
        <w:t> - O Procurador do Município editará o Regimento Interno que regulará as competências e procedimentos da Junta Administrativa de Indenizações.</w:t>
      </w:r>
    </w:p>
    <w:p w:rsidR="00112720" w:rsidRPr="00112720" w:rsidRDefault="00112720" w:rsidP="00112720">
      <w:pPr>
        <w:shd w:val="clear" w:color="auto" w:fill="FFFFFF"/>
        <w:spacing w:before="100" w:beforeAutospacing="1" w:after="100" w:afterAutospacing="1"/>
        <w:ind w:firstLine="2977"/>
        <w:jc w:val="both"/>
        <w:rPr>
          <w:color w:val="000000"/>
          <w:sz w:val="24"/>
          <w:szCs w:val="24"/>
        </w:rPr>
      </w:pPr>
      <w:r w:rsidRPr="00112720">
        <w:rPr>
          <w:b/>
          <w:bCs/>
          <w:color w:val="000000"/>
          <w:sz w:val="24"/>
          <w:szCs w:val="24"/>
        </w:rPr>
        <w:t>Art. 5º</w:t>
      </w:r>
      <w:r w:rsidRPr="00112720">
        <w:rPr>
          <w:color w:val="000000"/>
          <w:sz w:val="24"/>
          <w:szCs w:val="24"/>
        </w:rPr>
        <w:t> - Este Decreto entra em vigor na data de sua publicação.</w:t>
      </w:r>
    </w:p>
    <w:p w:rsidR="00112720" w:rsidRPr="00112720" w:rsidRDefault="00112720" w:rsidP="00112720">
      <w:pPr>
        <w:shd w:val="clear" w:color="auto" w:fill="FFFFFF"/>
        <w:spacing w:before="100" w:beforeAutospacing="1" w:after="100" w:afterAutospacing="1"/>
        <w:ind w:firstLine="2835"/>
        <w:jc w:val="both"/>
        <w:rPr>
          <w:color w:val="000000"/>
          <w:sz w:val="24"/>
          <w:szCs w:val="24"/>
        </w:rPr>
      </w:pPr>
    </w:p>
    <w:p w:rsidR="00C9094F" w:rsidRPr="00112720" w:rsidRDefault="00C9094F" w:rsidP="00C9094F">
      <w:pPr>
        <w:jc w:val="both"/>
        <w:rPr>
          <w:iCs/>
          <w:sz w:val="24"/>
          <w:szCs w:val="24"/>
        </w:rPr>
      </w:pPr>
    </w:p>
    <w:p w:rsidR="00C9094F" w:rsidRPr="00112720" w:rsidRDefault="00C9094F" w:rsidP="00C9094F">
      <w:pPr>
        <w:jc w:val="center"/>
        <w:rPr>
          <w:iCs/>
          <w:sz w:val="24"/>
          <w:szCs w:val="24"/>
        </w:rPr>
      </w:pPr>
      <w:r w:rsidRPr="00112720">
        <w:rPr>
          <w:iCs/>
          <w:sz w:val="24"/>
          <w:szCs w:val="24"/>
        </w:rPr>
        <w:t>PAÇO MUNICIPAL “29 DE ABRIL“</w:t>
      </w:r>
    </w:p>
    <w:p w:rsidR="00C9094F" w:rsidRDefault="00D529E3" w:rsidP="00C9094F">
      <w:pPr>
        <w:jc w:val="center"/>
        <w:rPr>
          <w:iCs/>
          <w:sz w:val="24"/>
          <w:szCs w:val="24"/>
        </w:rPr>
      </w:pPr>
      <w:r>
        <w:rPr>
          <w:iCs/>
          <w:sz w:val="24"/>
          <w:szCs w:val="24"/>
        </w:rPr>
        <w:t>Quarto Centenário-Pr, 16</w:t>
      </w:r>
      <w:r w:rsidR="00C9094F" w:rsidRPr="00112720">
        <w:rPr>
          <w:iCs/>
          <w:sz w:val="24"/>
          <w:szCs w:val="24"/>
        </w:rPr>
        <w:t xml:space="preserve"> de outubro de 2013</w:t>
      </w:r>
    </w:p>
    <w:p w:rsidR="00112720" w:rsidRDefault="00112720" w:rsidP="00C9094F">
      <w:pPr>
        <w:jc w:val="center"/>
        <w:rPr>
          <w:iCs/>
          <w:sz w:val="24"/>
          <w:szCs w:val="24"/>
        </w:rPr>
      </w:pPr>
    </w:p>
    <w:p w:rsidR="00112720" w:rsidRDefault="00112720" w:rsidP="00C9094F">
      <w:pPr>
        <w:jc w:val="center"/>
        <w:rPr>
          <w:iCs/>
          <w:sz w:val="24"/>
          <w:szCs w:val="24"/>
        </w:rPr>
      </w:pPr>
    </w:p>
    <w:p w:rsidR="00112720" w:rsidRPr="00112720" w:rsidRDefault="00112720" w:rsidP="00C9094F">
      <w:pPr>
        <w:jc w:val="center"/>
        <w:rPr>
          <w:b/>
          <w:i/>
          <w:sz w:val="24"/>
          <w:szCs w:val="24"/>
        </w:rPr>
      </w:pPr>
    </w:p>
    <w:p w:rsidR="00C9094F" w:rsidRPr="00112720" w:rsidRDefault="00C9094F" w:rsidP="00C9094F">
      <w:pPr>
        <w:pStyle w:val="Ttulo"/>
        <w:rPr>
          <w:b w:val="0"/>
          <w:i/>
          <w:szCs w:val="24"/>
        </w:rPr>
      </w:pPr>
    </w:p>
    <w:p w:rsidR="00C9094F" w:rsidRPr="00112720" w:rsidRDefault="00C9094F" w:rsidP="00C9094F">
      <w:pPr>
        <w:pStyle w:val="Ttulo"/>
        <w:rPr>
          <w:b w:val="0"/>
          <w:i/>
          <w:szCs w:val="24"/>
        </w:rPr>
      </w:pPr>
    </w:p>
    <w:p w:rsidR="00C9094F" w:rsidRPr="00112720" w:rsidRDefault="00C9094F" w:rsidP="00C9094F">
      <w:pPr>
        <w:pStyle w:val="Ttulo"/>
        <w:rPr>
          <w:b w:val="0"/>
          <w:i/>
          <w:szCs w:val="24"/>
        </w:rPr>
      </w:pPr>
      <w:r w:rsidRPr="00112720">
        <w:rPr>
          <w:b w:val="0"/>
          <w:i/>
          <w:szCs w:val="24"/>
        </w:rPr>
        <w:t>REINALDO KRACHINSKI</w:t>
      </w:r>
    </w:p>
    <w:p w:rsidR="00C9094F" w:rsidRPr="00112720" w:rsidRDefault="00C9094F" w:rsidP="00C9094F">
      <w:pPr>
        <w:pStyle w:val="Ttulo"/>
        <w:rPr>
          <w:szCs w:val="24"/>
        </w:rPr>
      </w:pPr>
      <w:r w:rsidRPr="00112720">
        <w:rPr>
          <w:b w:val="0"/>
          <w:i/>
          <w:szCs w:val="24"/>
        </w:rPr>
        <w:t>Prefeito Municipal</w:t>
      </w:r>
    </w:p>
    <w:p w:rsidR="009E10C7" w:rsidRPr="00112720" w:rsidRDefault="009E10C7">
      <w:pPr>
        <w:rPr>
          <w:sz w:val="24"/>
          <w:szCs w:val="24"/>
        </w:rPr>
      </w:pPr>
    </w:p>
    <w:sectPr w:rsidR="009E10C7" w:rsidRPr="00112720" w:rsidSect="00A75D66">
      <w:headerReference w:type="default" r:id="rId6"/>
      <w:footerReference w:type="default" r:id="rId7"/>
      <w:pgSz w:w="11907" w:h="16840" w:code="9"/>
      <w:pgMar w:top="2661" w:right="992" w:bottom="1418" w:left="1134" w:header="284" w:footer="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66" w:rsidRDefault="00A75D66" w:rsidP="00B645E1">
      <w:r>
        <w:separator/>
      </w:r>
    </w:p>
  </w:endnote>
  <w:endnote w:type="continuationSeparator" w:id="1">
    <w:p w:rsidR="00A75D66" w:rsidRDefault="00A75D66" w:rsidP="00B64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66" w:rsidRPr="009F1970" w:rsidRDefault="00A75D66" w:rsidP="00A75D66">
    <w:pPr>
      <w:pStyle w:val="Rodap"/>
      <w:tabs>
        <w:tab w:val="center" w:pos="-540"/>
        <w:tab w:val="right" w:pos="9720"/>
        <w:tab w:val="right" w:pos="10800"/>
      </w:tabs>
      <w:ind w:left="-993" w:right="-108" w:hanging="708"/>
      <w:jc w:val="center"/>
      <w:rPr>
        <w:rFonts w:ascii="Century Gothic" w:hAnsi="Century Gothic" w:cs="Courier New"/>
        <w:b/>
        <w:spacing w:val="20"/>
      </w:rPr>
    </w:pPr>
    <w:r>
      <w:rPr>
        <w:rFonts w:ascii="Century Gothic" w:hAnsi="Century Gothic" w:cs="Courier New"/>
        <w:b/>
        <w:spacing w:val="20"/>
      </w:rPr>
      <w:t xml:space="preserve">                   </w:t>
    </w:r>
    <w:r w:rsidRPr="009F1970">
      <w:rPr>
        <w:rFonts w:ascii="Century Gothic" w:hAnsi="Century Gothic" w:cs="Courier New"/>
        <w:b/>
        <w:spacing w:val="20"/>
      </w:rPr>
      <w:t>Avenida Raposo Tavares, 594, Centro – CEP: 87.365-000 – Tel. (44) 3546-1109</w:t>
    </w:r>
  </w:p>
  <w:p w:rsidR="00A75D66" w:rsidRPr="009F1970" w:rsidRDefault="00A75D66" w:rsidP="00A75D66">
    <w:pPr>
      <w:pStyle w:val="Rodap"/>
      <w:tabs>
        <w:tab w:val="center" w:pos="-540"/>
        <w:tab w:val="right" w:pos="9720"/>
        <w:tab w:val="right" w:pos="10800"/>
      </w:tabs>
      <w:ind w:left="-284" w:right="-108"/>
      <w:jc w:val="center"/>
    </w:pPr>
    <w:r w:rsidRPr="009F1970">
      <w:rPr>
        <w:rFonts w:ascii="Century Gothic" w:hAnsi="Century Gothic"/>
      </w:rPr>
      <w:t>www.quartocentenario.pr.gov.br                                     pm@quartocentenario.pr.gov.br</w:t>
    </w:r>
  </w:p>
  <w:p w:rsidR="00A75D66" w:rsidRDefault="00A75D66" w:rsidP="00A75D66">
    <w:pPr>
      <w:pStyle w:val="Rodap"/>
    </w:pPr>
  </w:p>
  <w:p w:rsidR="00A75D66" w:rsidRPr="001D4420" w:rsidRDefault="00A75D66" w:rsidP="00A75D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66" w:rsidRDefault="00A75D66" w:rsidP="00B645E1">
      <w:r>
        <w:separator/>
      </w:r>
    </w:p>
  </w:footnote>
  <w:footnote w:type="continuationSeparator" w:id="1">
    <w:p w:rsidR="00A75D66" w:rsidRDefault="00A75D66" w:rsidP="00B6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66" w:rsidRDefault="00B1392D" w:rsidP="00A75D66">
    <w:pPr>
      <w:ind w:left="-180" w:right="-288"/>
      <w:jc w:val="center"/>
      <w:rPr>
        <w:rFonts w:ascii="Century Gothic" w:hAnsi="Century Gothic"/>
        <w:b/>
        <w:bCs/>
        <w:spacing w:val="32"/>
        <w:sz w:val="36"/>
        <w:szCs w:val="36"/>
      </w:rPr>
    </w:pPr>
    <w:r>
      <w:rPr>
        <w:rFonts w:ascii="Century Gothic" w:hAnsi="Century Gothic"/>
        <w:b/>
        <w:bCs/>
        <w:noProof/>
        <w:spacing w:val="32"/>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202pt;margin-top:12.8pt;width:62.25pt;height:55.5pt;z-index:-251658752;visibility:visible" wrapcoords="-520 0 -520 21016 21860 21016 21860 0 -520 0">
          <v:imagedata r:id="rId1" o:title="Brasão"/>
          <w10:wrap type="tight"/>
        </v:shape>
      </w:pict>
    </w:r>
  </w:p>
  <w:p w:rsidR="00A75D66" w:rsidRDefault="00A75D66" w:rsidP="00A75D66">
    <w:pPr>
      <w:ind w:left="-180" w:right="-288"/>
      <w:jc w:val="center"/>
      <w:rPr>
        <w:rFonts w:ascii="Century Gothic" w:hAnsi="Century Gothic"/>
        <w:b/>
        <w:bCs/>
        <w:spacing w:val="32"/>
        <w:sz w:val="36"/>
        <w:szCs w:val="36"/>
      </w:rPr>
    </w:pPr>
  </w:p>
  <w:p w:rsidR="00A75D66" w:rsidRDefault="00A75D66" w:rsidP="00A75D66">
    <w:pPr>
      <w:ind w:left="-180" w:right="-288"/>
      <w:jc w:val="center"/>
      <w:rPr>
        <w:rFonts w:ascii="Century Gothic" w:hAnsi="Century Gothic"/>
        <w:b/>
        <w:bCs/>
        <w:spacing w:val="32"/>
        <w:sz w:val="36"/>
        <w:szCs w:val="36"/>
      </w:rPr>
    </w:pPr>
  </w:p>
  <w:p w:rsidR="00A75D66" w:rsidRPr="005F1A3A" w:rsidRDefault="00A75D66" w:rsidP="00A75D66">
    <w:pPr>
      <w:ind w:left="-180" w:right="-288"/>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A75D66" w:rsidRDefault="00A75D66" w:rsidP="00A75D66">
    <w:pPr>
      <w:pStyle w:val="Cabealho"/>
      <w:jc w:val="center"/>
    </w:pPr>
    <w:r w:rsidRPr="005F1A3A">
      <w:rPr>
        <w:rFonts w:ascii="Century Gothic" w:hAnsi="Century Gothic"/>
        <w:b/>
        <w:bCs/>
      </w:rPr>
      <w:t>ESTADO DO PARANÁ</w:t>
    </w:r>
  </w:p>
  <w:p w:rsidR="00A75D66" w:rsidRPr="001D4420" w:rsidRDefault="00A75D66" w:rsidP="00A75D66">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9094F"/>
    <w:rsid w:val="00112720"/>
    <w:rsid w:val="00130E33"/>
    <w:rsid w:val="003702A7"/>
    <w:rsid w:val="004B1205"/>
    <w:rsid w:val="006F224F"/>
    <w:rsid w:val="00731325"/>
    <w:rsid w:val="009E10C7"/>
    <w:rsid w:val="00A33BEF"/>
    <w:rsid w:val="00A75D66"/>
    <w:rsid w:val="00B1392D"/>
    <w:rsid w:val="00B645E1"/>
    <w:rsid w:val="00C9094F"/>
    <w:rsid w:val="00D529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0" w:after="6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4F"/>
    <w:pPr>
      <w:spacing w:before="0" w:after="0" w:line="240" w:lineRule="auto"/>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9094F"/>
    <w:pPr>
      <w:tabs>
        <w:tab w:val="center" w:pos="4320"/>
        <w:tab w:val="right" w:pos="8640"/>
      </w:tabs>
    </w:pPr>
  </w:style>
  <w:style w:type="character" w:customStyle="1" w:styleId="CabealhoChar">
    <w:name w:val="Cabeçalho Char"/>
    <w:basedOn w:val="Fontepargpadro"/>
    <w:link w:val="Cabealho"/>
    <w:rsid w:val="00C9094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C9094F"/>
    <w:pPr>
      <w:tabs>
        <w:tab w:val="center" w:pos="4320"/>
        <w:tab w:val="right" w:pos="8640"/>
      </w:tabs>
    </w:pPr>
  </w:style>
  <w:style w:type="character" w:customStyle="1" w:styleId="RodapChar">
    <w:name w:val="Rodapé Char"/>
    <w:basedOn w:val="Fontepargpadro"/>
    <w:link w:val="Rodap"/>
    <w:uiPriority w:val="99"/>
    <w:rsid w:val="00C9094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C9094F"/>
    <w:pPr>
      <w:spacing w:after="120"/>
      <w:ind w:left="283"/>
    </w:pPr>
  </w:style>
  <w:style w:type="character" w:customStyle="1" w:styleId="RecuodecorpodetextoChar">
    <w:name w:val="Recuo de corpo de texto Char"/>
    <w:basedOn w:val="Fontepargpadro"/>
    <w:link w:val="Recuodecorpodetexto"/>
    <w:uiPriority w:val="99"/>
    <w:semiHidden/>
    <w:rsid w:val="00C9094F"/>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nhideWhenUsed/>
    <w:rsid w:val="00C9094F"/>
    <w:pPr>
      <w:spacing w:after="120"/>
      <w:ind w:left="283"/>
    </w:pPr>
    <w:rPr>
      <w:sz w:val="16"/>
      <w:szCs w:val="16"/>
    </w:rPr>
  </w:style>
  <w:style w:type="character" w:customStyle="1" w:styleId="Recuodecorpodetexto3Char">
    <w:name w:val="Recuo de corpo de texto 3 Char"/>
    <w:basedOn w:val="Fontepargpadro"/>
    <w:link w:val="Recuodecorpodetexto3"/>
    <w:rsid w:val="00C9094F"/>
    <w:rPr>
      <w:rFonts w:ascii="Times New Roman" w:eastAsia="Times New Roman" w:hAnsi="Times New Roman" w:cs="Times New Roman"/>
      <w:sz w:val="16"/>
      <w:szCs w:val="16"/>
      <w:lang w:eastAsia="pt-BR"/>
    </w:rPr>
  </w:style>
  <w:style w:type="paragraph" w:styleId="Ttulo">
    <w:name w:val="Title"/>
    <w:basedOn w:val="Normal"/>
    <w:link w:val="TtuloChar"/>
    <w:qFormat/>
    <w:rsid w:val="00C9094F"/>
    <w:pPr>
      <w:jc w:val="center"/>
    </w:pPr>
    <w:rPr>
      <w:b/>
      <w:sz w:val="24"/>
    </w:rPr>
  </w:style>
  <w:style w:type="character" w:customStyle="1" w:styleId="TtuloChar">
    <w:name w:val="Título Char"/>
    <w:basedOn w:val="Fontepargpadro"/>
    <w:link w:val="Ttulo"/>
    <w:rsid w:val="00C9094F"/>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453</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2013-10-21T16:42:00Z</cp:lastPrinted>
  <dcterms:created xsi:type="dcterms:W3CDTF">2013-10-18T13:55:00Z</dcterms:created>
  <dcterms:modified xsi:type="dcterms:W3CDTF">2013-10-21T16:42:00Z</dcterms:modified>
</cp:coreProperties>
</file>