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3" w:rsidRPr="00CC19A6" w:rsidRDefault="000E0413" w:rsidP="008323C5"/>
    <w:p w:rsidR="00CC4A52" w:rsidRPr="00E60143" w:rsidRDefault="00DA6D63" w:rsidP="00CC4A52">
      <w:pPr>
        <w:pStyle w:val="SemEspaamento"/>
        <w:jc w:val="center"/>
        <w:rPr>
          <w:rStyle w:val="nfase"/>
          <w:rFonts w:ascii="Century Gothic" w:hAnsi="Century Gothic"/>
          <w:b/>
          <w:i w:val="0"/>
          <w:sz w:val="22"/>
          <w:szCs w:val="22"/>
        </w:rPr>
      </w:pPr>
      <w:r>
        <w:rPr>
          <w:rStyle w:val="nfase"/>
          <w:rFonts w:ascii="Century Gothic" w:hAnsi="Century Gothic"/>
          <w:b/>
          <w:i w:val="0"/>
          <w:sz w:val="22"/>
          <w:szCs w:val="22"/>
        </w:rPr>
        <w:t>REA</w:t>
      </w:r>
      <w:r w:rsidR="00CC4A52" w:rsidRPr="00E60143">
        <w:rPr>
          <w:rStyle w:val="nfase"/>
          <w:rFonts w:ascii="Century Gothic" w:hAnsi="Century Gothic"/>
          <w:b/>
          <w:i w:val="0"/>
          <w:sz w:val="22"/>
          <w:szCs w:val="22"/>
        </w:rPr>
        <w:t>VISO DE AUDIÊNCIA PÚBLICA - LOA 2022</w:t>
      </w: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3A357F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  <w:r w:rsidRPr="00CC19A6">
        <w:rPr>
          <w:rStyle w:val="nfase"/>
          <w:rFonts w:ascii="Century Gothic" w:hAnsi="Century Gothic"/>
          <w:i w:val="0"/>
          <w:sz w:val="22"/>
          <w:szCs w:val="22"/>
        </w:rPr>
        <w:t>O CHEFE DO PODER EXECUTIVO DO MUNICÍPIO DE QUARTO CENTENÁRIO, ESTADO DO PARANÁ, USANDO DAS ATRIBUIÇÕES CONTIDAS NA LEGISLAÇÃO VIGENTE, COMUNICA QUE ACONTECERÁ UMA AUDI</w:t>
      </w:r>
      <w:r w:rsidR="009C3110" w:rsidRPr="00CC19A6">
        <w:rPr>
          <w:rStyle w:val="nfase"/>
          <w:rFonts w:ascii="Century Gothic" w:hAnsi="Century Gothic"/>
          <w:i w:val="0"/>
          <w:sz w:val="22"/>
          <w:szCs w:val="22"/>
        </w:rPr>
        <w:t>Ê</w:t>
      </w:r>
      <w:r w:rsidRPr="00CC19A6">
        <w:rPr>
          <w:rStyle w:val="nfase"/>
          <w:rFonts w:ascii="Century Gothic" w:hAnsi="Century Gothic"/>
          <w:i w:val="0"/>
          <w:sz w:val="22"/>
          <w:szCs w:val="22"/>
        </w:rPr>
        <w:t xml:space="preserve">NCIA PÚBLICA </w:t>
      </w:r>
      <w:r w:rsidR="007C622A" w:rsidRPr="00CC19A6">
        <w:rPr>
          <w:rStyle w:val="nfase"/>
          <w:rFonts w:ascii="Century Gothic" w:hAnsi="Century Gothic"/>
          <w:i w:val="0"/>
          <w:sz w:val="22"/>
          <w:szCs w:val="22"/>
        </w:rPr>
        <w:t xml:space="preserve">PARA TRATAR DO PROJETO </w:t>
      </w:r>
      <w:r w:rsidR="002F25FF">
        <w:rPr>
          <w:rStyle w:val="nfase"/>
          <w:rFonts w:ascii="Century Gothic" w:hAnsi="Century Gothic"/>
          <w:i w:val="0"/>
          <w:sz w:val="22"/>
          <w:szCs w:val="22"/>
        </w:rPr>
        <w:t>D</w:t>
      </w:r>
      <w:r w:rsidR="007C622A" w:rsidRPr="00CC19A6">
        <w:rPr>
          <w:rStyle w:val="nfase"/>
          <w:rFonts w:ascii="Century Gothic" w:hAnsi="Century Gothic"/>
          <w:i w:val="0"/>
          <w:sz w:val="22"/>
          <w:szCs w:val="22"/>
        </w:rPr>
        <w:t xml:space="preserve">A </w:t>
      </w:r>
      <w:r w:rsidRPr="00CC19A6">
        <w:rPr>
          <w:rStyle w:val="nfase"/>
          <w:rFonts w:ascii="Century Gothic" w:hAnsi="Century Gothic"/>
          <w:i w:val="0"/>
          <w:sz w:val="22"/>
          <w:szCs w:val="22"/>
        </w:rPr>
        <w:t>LEI ORÇAMENTÁRIA PARA O EXERCICIO DE 2022</w:t>
      </w:r>
      <w:r w:rsidR="009C3110" w:rsidRPr="00CC19A6">
        <w:rPr>
          <w:rStyle w:val="nfase"/>
          <w:rFonts w:ascii="Century Gothic" w:hAnsi="Century Gothic"/>
          <w:i w:val="0"/>
          <w:sz w:val="22"/>
          <w:szCs w:val="22"/>
        </w:rPr>
        <w:t>.</w:t>
      </w:r>
    </w:p>
    <w:p w:rsidR="000E2A49" w:rsidRDefault="000E2A49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0E2A49" w:rsidRPr="00CC19A6" w:rsidRDefault="000E2A49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3A357F" w:rsidRPr="000E2A49" w:rsidRDefault="003A357F" w:rsidP="00CC4A52">
      <w:pPr>
        <w:pStyle w:val="SemEspaamento"/>
        <w:jc w:val="both"/>
        <w:rPr>
          <w:rStyle w:val="nfase"/>
          <w:rFonts w:ascii="Century Gothic" w:hAnsi="Century Gothic"/>
          <w:b/>
          <w:i w:val="0"/>
          <w:sz w:val="22"/>
          <w:szCs w:val="22"/>
        </w:rPr>
      </w:pPr>
      <w:r w:rsidRPr="000E2A49">
        <w:rPr>
          <w:rStyle w:val="nfase"/>
          <w:rFonts w:ascii="Century Gothic" w:hAnsi="Century Gothic"/>
          <w:b/>
          <w:i w:val="0"/>
          <w:sz w:val="22"/>
          <w:szCs w:val="22"/>
        </w:rPr>
        <w:t>DATA: 09/0</w:t>
      </w:r>
      <w:r w:rsidR="00DA6D63">
        <w:rPr>
          <w:rStyle w:val="nfase"/>
          <w:rFonts w:ascii="Century Gothic" w:hAnsi="Century Gothic"/>
          <w:b/>
          <w:i w:val="0"/>
          <w:sz w:val="22"/>
          <w:szCs w:val="22"/>
        </w:rPr>
        <w:t>9</w:t>
      </w:r>
      <w:bookmarkStart w:id="0" w:name="_GoBack"/>
      <w:bookmarkEnd w:id="0"/>
      <w:r w:rsidRPr="000E2A49">
        <w:rPr>
          <w:rStyle w:val="nfase"/>
          <w:rFonts w:ascii="Century Gothic" w:hAnsi="Century Gothic"/>
          <w:b/>
          <w:i w:val="0"/>
          <w:sz w:val="22"/>
          <w:szCs w:val="22"/>
        </w:rPr>
        <w:t>/2021</w:t>
      </w:r>
    </w:p>
    <w:p w:rsidR="003A357F" w:rsidRPr="000E2A49" w:rsidRDefault="003A357F" w:rsidP="00CC4A52">
      <w:pPr>
        <w:pStyle w:val="SemEspaamento"/>
        <w:jc w:val="both"/>
        <w:rPr>
          <w:rStyle w:val="nfase"/>
          <w:rFonts w:ascii="Century Gothic" w:hAnsi="Century Gothic"/>
          <w:b/>
          <w:i w:val="0"/>
          <w:sz w:val="22"/>
          <w:szCs w:val="22"/>
        </w:rPr>
      </w:pPr>
      <w:r w:rsidRPr="000E2A49">
        <w:rPr>
          <w:rStyle w:val="nfase"/>
          <w:rFonts w:ascii="Century Gothic" w:hAnsi="Century Gothic"/>
          <w:b/>
          <w:i w:val="0"/>
          <w:sz w:val="22"/>
          <w:szCs w:val="22"/>
        </w:rPr>
        <w:t xml:space="preserve">HORÁRIO: 10 </w:t>
      </w:r>
      <w:r w:rsidR="00921D81" w:rsidRPr="000E2A49">
        <w:rPr>
          <w:rStyle w:val="nfase"/>
          <w:rFonts w:ascii="Century Gothic" w:hAnsi="Century Gothic"/>
          <w:b/>
          <w:i w:val="0"/>
          <w:sz w:val="22"/>
          <w:szCs w:val="22"/>
        </w:rPr>
        <w:t>HORAS</w:t>
      </w:r>
    </w:p>
    <w:p w:rsidR="003A357F" w:rsidRPr="000E2A49" w:rsidRDefault="003A357F" w:rsidP="00CC4A52">
      <w:pPr>
        <w:pStyle w:val="SemEspaamento"/>
        <w:jc w:val="both"/>
        <w:rPr>
          <w:rStyle w:val="nfase"/>
          <w:rFonts w:ascii="Century Gothic" w:hAnsi="Century Gothic"/>
          <w:b/>
          <w:i w:val="0"/>
          <w:sz w:val="22"/>
          <w:szCs w:val="22"/>
        </w:rPr>
      </w:pPr>
      <w:r w:rsidRPr="000E2A49">
        <w:rPr>
          <w:rStyle w:val="nfase"/>
          <w:rFonts w:ascii="Century Gothic" w:hAnsi="Century Gothic"/>
          <w:b/>
          <w:i w:val="0"/>
          <w:sz w:val="22"/>
          <w:szCs w:val="22"/>
        </w:rPr>
        <w:t xml:space="preserve">LOCAL: </w:t>
      </w:r>
      <w:r w:rsidR="00CC4A52" w:rsidRPr="000E2A49">
        <w:rPr>
          <w:rStyle w:val="nfase"/>
          <w:rFonts w:ascii="Century Gothic" w:hAnsi="Century Gothic"/>
          <w:b/>
          <w:i w:val="0"/>
          <w:sz w:val="22"/>
          <w:szCs w:val="22"/>
        </w:rPr>
        <w:t>AUDITÓRIO DA CÂMARA MUNICIPAL</w:t>
      </w: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  <w:r w:rsidRPr="00CC19A6">
        <w:rPr>
          <w:rStyle w:val="nfase"/>
          <w:rFonts w:ascii="Century Gothic" w:hAnsi="Century Gothic"/>
          <w:i w:val="0"/>
          <w:sz w:val="22"/>
          <w:szCs w:val="22"/>
        </w:rPr>
        <w:t xml:space="preserve">QUARTO CENTENÁRIO/PR, </w:t>
      </w:r>
      <w:r w:rsidR="00F74EEE" w:rsidRPr="00CC19A6">
        <w:rPr>
          <w:rStyle w:val="nfase"/>
          <w:rFonts w:ascii="Century Gothic" w:hAnsi="Century Gothic"/>
          <w:i w:val="0"/>
          <w:sz w:val="22"/>
          <w:szCs w:val="22"/>
        </w:rPr>
        <w:t>0</w:t>
      </w:r>
      <w:r w:rsidR="00921D81" w:rsidRPr="00CC19A6">
        <w:rPr>
          <w:rStyle w:val="nfase"/>
          <w:rFonts w:ascii="Century Gothic" w:hAnsi="Century Gothic"/>
          <w:i w:val="0"/>
          <w:sz w:val="22"/>
          <w:szCs w:val="22"/>
        </w:rPr>
        <w:t>6</w:t>
      </w:r>
      <w:r w:rsidRPr="00CC19A6">
        <w:rPr>
          <w:rStyle w:val="nfase"/>
          <w:rFonts w:ascii="Century Gothic" w:hAnsi="Century Gothic"/>
          <w:i w:val="0"/>
          <w:sz w:val="22"/>
          <w:szCs w:val="22"/>
        </w:rPr>
        <w:t>/08/2021.</w:t>
      </w: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CC4A52" w:rsidRPr="00CC19A6" w:rsidRDefault="00921D81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  <w:r w:rsidRPr="00CC19A6">
        <w:rPr>
          <w:rStyle w:val="nfase"/>
          <w:rFonts w:ascii="Century Gothic" w:hAnsi="Century Gothic"/>
          <w:i w:val="0"/>
          <w:sz w:val="22"/>
          <w:szCs w:val="22"/>
        </w:rPr>
        <w:t>WILSON AKIO ABE</w:t>
      </w: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  <w:r w:rsidRPr="00CC19A6">
        <w:rPr>
          <w:rStyle w:val="nfase"/>
          <w:rFonts w:ascii="Century Gothic" w:hAnsi="Century Gothic"/>
          <w:i w:val="0"/>
          <w:sz w:val="22"/>
          <w:szCs w:val="22"/>
        </w:rPr>
        <w:t>PREFEITO MUNICIPAL</w:t>
      </w: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  <w:r w:rsidRPr="00CC19A6">
        <w:rPr>
          <w:rStyle w:val="nfase"/>
          <w:rFonts w:ascii="Century Gothic" w:hAnsi="Century Gothic"/>
          <w:i w:val="0"/>
          <w:sz w:val="22"/>
          <w:szCs w:val="22"/>
        </w:rPr>
        <w:t>GESTÃO 2021/2024</w:t>
      </w:r>
    </w:p>
    <w:p w:rsidR="00CC4A52" w:rsidRPr="00CC19A6" w:rsidRDefault="00CC4A52" w:rsidP="00CC4A52">
      <w:pPr>
        <w:pStyle w:val="SemEspaamento"/>
        <w:jc w:val="both"/>
        <w:rPr>
          <w:rStyle w:val="nfase"/>
          <w:rFonts w:ascii="Century Gothic" w:hAnsi="Century Gothic"/>
          <w:i w:val="0"/>
          <w:sz w:val="22"/>
          <w:szCs w:val="22"/>
        </w:rPr>
      </w:pPr>
    </w:p>
    <w:p w:rsidR="00CC4A52" w:rsidRPr="00CC19A6" w:rsidRDefault="00CC4A52" w:rsidP="00CC4A52">
      <w:pPr>
        <w:pStyle w:val="SemEspaamento"/>
        <w:jc w:val="both"/>
        <w:rPr>
          <w:rStyle w:val="nfase"/>
          <w:i w:val="0"/>
        </w:rPr>
      </w:pPr>
    </w:p>
    <w:p w:rsidR="00CC4A52" w:rsidRPr="0025665A" w:rsidRDefault="00CC4A52" w:rsidP="00CC4A52">
      <w:pPr>
        <w:pStyle w:val="SemEspaamento"/>
        <w:jc w:val="both"/>
        <w:rPr>
          <w:rStyle w:val="nfase"/>
          <w:i w:val="0"/>
        </w:rPr>
      </w:pPr>
    </w:p>
    <w:p w:rsidR="00CC4A52" w:rsidRDefault="00CC4A52" w:rsidP="00CC4A52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CC4A52" w:rsidRDefault="00CC4A52" w:rsidP="00CC4A52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:rsidR="00CC4A52" w:rsidRPr="00A91F9C" w:rsidRDefault="00CC4A52" w:rsidP="00CC4A52">
      <w:pPr>
        <w:autoSpaceDE w:val="0"/>
        <w:autoSpaceDN w:val="0"/>
        <w:adjustRightInd w:val="0"/>
        <w:rPr>
          <w:rFonts w:ascii="MV Boli" w:hAnsi="MV Boli" w:cs="MV Boli"/>
          <w:sz w:val="20"/>
        </w:rPr>
      </w:pPr>
    </w:p>
    <w:p w:rsidR="00CC4A52" w:rsidRPr="008323C5" w:rsidRDefault="00CC4A52" w:rsidP="008323C5"/>
    <w:sectPr w:rsidR="00CC4A52" w:rsidRPr="008323C5" w:rsidSect="00EC0A3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851" w:right="992" w:bottom="1134" w:left="1134" w:header="420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99" w:rsidRDefault="00D46599">
      <w:r>
        <w:separator/>
      </w:r>
    </w:p>
  </w:endnote>
  <w:endnote w:type="continuationSeparator" w:id="0">
    <w:p w:rsidR="00D46599" w:rsidRDefault="00D4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99" w:rsidRDefault="00D46599">
      <w:r>
        <w:separator/>
      </w:r>
    </w:p>
  </w:footnote>
  <w:footnote w:type="continuationSeparator" w:id="0">
    <w:p w:rsidR="00D46599" w:rsidRDefault="00D46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00D9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E2A49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0A2F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5073"/>
    <w:rsid w:val="002B7912"/>
    <w:rsid w:val="002D2A17"/>
    <w:rsid w:val="002D69A1"/>
    <w:rsid w:val="002D7025"/>
    <w:rsid w:val="002D7B55"/>
    <w:rsid w:val="002E2E71"/>
    <w:rsid w:val="002E6106"/>
    <w:rsid w:val="002F25FF"/>
    <w:rsid w:val="002F74D2"/>
    <w:rsid w:val="002F7A2A"/>
    <w:rsid w:val="00300E32"/>
    <w:rsid w:val="003054BB"/>
    <w:rsid w:val="00315F78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A357F"/>
    <w:rsid w:val="003B5E5D"/>
    <w:rsid w:val="003C2E4E"/>
    <w:rsid w:val="003C41C8"/>
    <w:rsid w:val="003C7601"/>
    <w:rsid w:val="003D2A79"/>
    <w:rsid w:val="003D62AA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0CC9"/>
    <w:rsid w:val="00493771"/>
    <w:rsid w:val="004A07AB"/>
    <w:rsid w:val="004A20C9"/>
    <w:rsid w:val="004A3827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779C0"/>
    <w:rsid w:val="00591427"/>
    <w:rsid w:val="00592F0B"/>
    <w:rsid w:val="005972AF"/>
    <w:rsid w:val="005977B1"/>
    <w:rsid w:val="00597DA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669D3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D72"/>
    <w:rsid w:val="006C698E"/>
    <w:rsid w:val="006D7FF2"/>
    <w:rsid w:val="006E0DA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22A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E001C"/>
    <w:rsid w:val="008E1CCB"/>
    <w:rsid w:val="008E425E"/>
    <w:rsid w:val="008F71B4"/>
    <w:rsid w:val="00914AED"/>
    <w:rsid w:val="00921D81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3110"/>
    <w:rsid w:val="009C6F5B"/>
    <w:rsid w:val="009D16FB"/>
    <w:rsid w:val="009D199A"/>
    <w:rsid w:val="009D4A85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18CA"/>
    <w:rsid w:val="00B05E5A"/>
    <w:rsid w:val="00B12975"/>
    <w:rsid w:val="00B20A5E"/>
    <w:rsid w:val="00B2667F"/>
    <w:rsid w:val="00B31680"/>
    <w:rsid w:val="00B326B1"/>
    <w:rsid w:val="00B35F2D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917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19A6"/>
    <w:rsid w:val="00CC2ACC"/>
    <w:rsid w:val="00CC3404"/>
    <w:rsid w:val="00CC4A52"/>
    <w:rsid w:val="00CC6A1E"/>
    <w:rsid w:val="00CC6F38"/>
    <w:rsid w:val="00CD03E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774F"/>
    <w:rsid w:val="00D2321F"/>
    <w:rsid w:val="00D34CAF"/>
    <w:rsid w:val="00D36FF3"/>
    <w:rsid w:val="00D46599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A6D63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0143"/>
    <w:rsid w:val="00E616E7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4EEE"/>
    <w:rsid w:val="00F750E6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fase">
    <w:name w:val="Emphasis"/>
    <w:qFormat/>
    <w:rsid w:val="00CC4A52"/>
    <w:rPr>
      <w:i/>
      <w:iCs/>
    </w:rPr>
  </w:style>
  <w:style w:type="paragraph" w:styleId="SemEspaamento">
    <w:name w:val="No Spacing"/>
    <w:uiPriority w:val="1"/>
    <w:qFormat/>
    <w:rsid w:val="00CC4A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fase">
    <w:name w:val="Emphasis"/>
    <w:qFormat/>
    <w:rsid w:val="00CC4A52"/>
    <w:rPr>
      <w:i/>
      <w:iCs/>
    </w:rPr>
  </w:style>
  <w:style w:type="paragraph" w:styleId="SemEspaamento">
    <w:name w:val="No Spacing"/>
    <w:uiPriority w:val="1"/>
    <w:qFormat/>
    <w:rsid w:val="00CC4A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51678-6C2A-4EBF-9531-EAB21D91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465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nilson</cp:lastModifiedBy>
  <cp:revision>3</cp:revision>
  <cp:lastPrinted>2021-01-15T11:36:00Z</cp:lastPrinted>
  <dcterms:created xsi:type="dcterms:W3CDTF">2021-08-09T11:46:00Z</dcterms:created>
  <dcterms:modified xsi:type="dcterms:W3CDTF">2021-08-09T11:46:00Z</dcterms:modified>
</cp:coreProperties>
</file>