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182133">
        <w:rPr>
          <w:rFonts w:ascii="Century Gothic" w:hAnsi="Century Gothic" w:cs="Tahoma"/>
          <w:b/>
          <w:sz w:val="22"/>
          <w:szCs w:val="22"/>
        </w:rPr>
        <w:t>59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</w:t>
      </w:r>
      <w:r w:rsidR="00182133">
        <w:rPr>
          <w:rFonts w:ascii="Century Gothic" w:hAnsi="Century Gothic" w:cs="Tahoma"/>
          <w:sz w:val="22"/>
          <w:szCs w:val="22"/>
        </w:rPr>
        <w:t>Decreto Municipal n.º 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182133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DA775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TIAGO DE MOURA CORDEIRO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1821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CAMPO LARGO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468B5" w:rsidRPr="00182133">
              <w:rPr>
                <w:rFonts w:ascii="Century Gothic" w:hAnsi="Century Gothic" w:cs="Tahoma"/>
                <w:sz w:val="22"/>
                <w:szCs w:val="22"/>
              </w:rPr>
              <w:t>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1821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08/07/2022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1821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09/07/2022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182133" w:rsidRDefault="001821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525</w:t>
            </w:r>
            <w:r w:rsidR="00A468B5" w:rsidRPr="00182133"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  <w:p w:rsidR="00A468B5" w:rsidRPr="00182133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2133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182133" w:rsidRDefault="00A468B5" w:rsidP="00467CBE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 w:rsidRPr="00182133"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182133" w:rsidRPr="00182133">
              <w:rPr>
                <w:rFonts w:ascii="Century Gothic" w:hAnsi="Century Gothic" w:cs="Tahoma"/>
                <w:sz w:val="22"/>
                <w:szCs w:val="22"/>
              </w:rPr>
              <w:t xml:space="preserve">H. G. A. D. S. </w:t>
            </w:r>
            <w:r w:rsidRPr="00182133">
              <w:rPr>
                <w:rFonts w:ascii="Century Gothic" w:hAnsi="Century Gothic" w:cs="Tahoma"/>
                <w:sz w:val="22"/>
                <w:szCs w:val="22"/>
              </w:rPr>
              <w:t xml:space="preserve">PARA TRATAMENTO FORA DO DOMICÍLIO - TFD </w:t>
            </w:r>
            <w:r w:rsidR="00467CBE">
              <w:rPr>
                <w:rFonts w:ascii="Century Gothic" w:hAnsi="Century Gothic" w:cs="Tahoma"/>
                <w:sz w:val="22"/>
                <w:szCs w:val="22"/>
              </w:rPr>
              <w:t>DO HOSPITAL SANTA CASA DE CAMPO MOURÃO - PR PARA O</w:t>
            </w:r>
            <w:r w:rsidR="00467CBE" w:rsidRPr="00182133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182133" w:rsidRPr="00182133">
              <w:rPr>
                <w:rFonts w:ascii="Century Gothic" w:hAnsi="Century Gothic" w:cs="Tahoma"/>
                <w:sz w:val="22"/>
                <w:szCs w:val="22"/>
              </w:rPr>
              <w:t>HOSPITAL INFANTIL WALDEMAR</w:t>
            </w:r>
            <w:r w:rsidRPr="00182133">
              <w:rPr>
                <w:rFonts w:ascii="Century Gothic" w:hAnsi="Century Gothic" w:cs="Tahoma"/>
                <w:sz w:val="22"/>
                <w:szCs w:val="22"/>
              </w:rPr>
              <w:t>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182133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182133">
        <w:rPr>
          <w:rFonts w:ascii="Century Gothic" w:hAnsi="Century Gothic" w:cs="Tahoma"/>
        </w:rPr>
        <w:t>08 de Julho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82133" w:rsidRPr="00F26568" w:rsidRDefault="00182133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182133" w:rsidP="0018213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D53B04" w:rsidRDefault="00F26568" w:rsidP="00467CBE">
      <w:pPr>
        <w:pStyle w:val="SemEspaamento"/>
        <w:spacing w:line="360" w:lineRule="au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</w:t>
      </w:r>
      <w:r w:rsidR="00182133">
        <w:rPr>
          <w:rFonts w:ascii="Century Gothic" w:hAnsi="Century Gothic" w:cs="Tahoma"/>
        </w:rPr>
        <w:t>a</w:t>
      </w:r>
      <w:r w:rsidRPr="00F26568">
        <w:rPr>
          <w:rFonts w:ascii="Century Gothic" w:hAnsi="Century Gothic" w:cs="Tahoma"/>
        </w:rPr>
        <w:t xml:space="preserve">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76" w:rsidRDefault="007D2876">
      <w:r>
        <w:separator/>
      </w:r>
    </w:p>
  </w:endnote>
  <w:endnote w:type="continuationSeparator" w:id="1">
    <w:p w:rsidR="007D2876" w:rsidRDefault="007D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69791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9463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9463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76" w:rsidRDefault="007D2876">
      <w:r>
        <w:separator/>
      </w:r>
    </w:p>
  </w:footnote>
  <w:footnote w:type="continuationSeparator" w:id="1">
    <w:p w:rsidR="007D2876" w:rsidRDefault="007D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36DE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2133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67CBE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A53E3"/>
    <w:rsid w:val="004C29A9"/>
    <w:rsid w:val="004C3AC2"/>
    <w:rsid w:val="004D0428"/>
    <w:rsid w:val="004D262A"/>
    <w:rsid w:val="004E1D24"/>
    <w:rsid w:val="004E5B0E"/>
    <w:rsid w:val="004E67BC"/>
    <w:rsid w:val="004F3E85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912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2876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463B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5FD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4732"/>
    <w:rsid w:val="009D5FFD"/>
    <w:rsid w:val="009D6686"/>
    <w:rsid w:val="009D6973"/>
    <w:rsid w:val="009D6A71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C73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802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2022-07-08T10:43:00Z</cp:lastPrinted>
  <dcterms:created xsi:type="dcterms:W3CDTF">2022-07-08T10:40:00Z</dcterms:created>
  <dcterms:modified xsi:type="dcterms:W3CDTF">2022-07-08T10:44:00Z</dcterms:modified>
</cp:coreProperties>
</file>