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00</w:t>
      </w:r>
      <w:r w:rsidR="00AF0E86">
        <w:rPr>
          <w:rFonts w:ascii="Century Gothic" w:hAnsi="Century Gothic" w:cs="Tahoma"/>
          <w:b/>
          <w:sz w:val="22"/>
          <w:szCs w:val="22"/>
        </w:rPr>
        <w:t>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F9416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F8559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03/03/2022</w:t>
            </w:r>
          </w:p>
        </w:tc>
        <w:tc>
          <w:tcPr>
            <w:tcW w:w="0" w:type="auto"/>
          </w:tcPr>
          <w:p w:rsidR="0046582B" w:rsidRPr="00111163" w:rsidRDefault="00F8559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03/03/2022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9416D" w:rsidP="00AF0E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REUNIÃO TÉCNICA</w:t>
            </w:r>
            <w:r w:rsidR="00AF0E86">
              <w:rPr>
                <w:rFonts w:ascii="Century Gothic" w:hAnsi="Century Gothic" w:cs="Tahoma"/>
                <w:sz w:val="22"/>
                <w:szCs w:val="22"/>
              </w:rPr>
              <w:t xml:space="preserve"> NO AUDITÓRIO DA 11ª REGIONAL DE SAÚDE PARA TRATAR DA CONSTRUÇÃO DO RAG - RELATÓRIO ANUAL DE GESTÃO.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F0E86">
        <w:rPr>
          <w:rFonts w:ascii="Century Gothic" w:hAnsi="Century Gothic" w:cs="Tahoma"/>
        </w:rPr>
        <w:t xml:space="preserve">02 de Março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475" w:rsidRDefault="000D4475">
      <w:r>
        <w:separator/>
      </w:r>
    </w:p>
  </w:endnote>
  <w:endnote w:type="continuationSeparator" w:id="1">
    <w:p w:rsidR="000D4475" w:rsidRDefault="000D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7B613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16F3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16F3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475" w:rsidRDefault="000D4475">
      <w:r>
        <w:separator/>
      </w:r>
    </w:p>
  </w:footnote>
  <w:footnote w:type="continuationSeparator" w:id="1">
    <w:p w:rsidR="000D4475" w:rsidRDefault="000D4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9.75pt;height:11.25pt" o:bullet="t">
        <v:imagedata r:id="rId1" o:title="bullet13"/>
      </v:shape>
    </w:pict>
  </w:numPicBullet>
  <w:numPicBullet w:numPicBulletId="1">
    <w:pict>
      <v:shape id="_x0000_i1183" type="#_x0000_t75" style="width:3in;height:3in" o:bullet="t"/>
    </w:pict>
  </w:numPicBullet>
  <w:numPicBullet w:numPicBulletId="2">
    <w:pict>
      <v:shape id="_x0000_i1184" type="#_x0000_t75" style="width:3in;height:3in" o:bullet="t"/>
    </w:pict>
  </w:numPicBullet>
  <w:numPicBullet w:numPicBulletId="3">
    <w:pict>
      <v:shape id="_x0000_i1185" type="#_x0000_t75" style="width:3in;height:3in" o:bullet="t"/>
    </w:pict>
  </w:numPicBullet>
  <w:numPicBullet w:numPicBulletId="4">
    <w:pict>
      <v:shape id="_x0000_i1186" type="#_x0000_t75" style="width:3in;height:3in" o:bullet="t"/>
    </w:pict>
  </w:numPicBullet>
  <w:numPicBullet w:numPicBulletId="5">
    <w:pict>
      <v:shape id="_x0000_i1187" type="#_x0000_t75" style="width:3in;height:3in" o:bullet="t"/>
    </w:pict>
  </w:numPicBullet>
  <w:numPicBullet w:numPicBulletId="6">
    <w:pict>
      <v:shape id="_x0000_i1188" type="#_x0000_t75" style="width:3in;height:3in" o:bullet="t"/>
    </w:pict>
  </w:numPicBullet>
  <w:numPicBullet w:numPicBulletId="7">
    <w:pict>
      <v:shape id="_x0000_i1189" type="#_x0000_t75" style="width:3in;height:3in" o:bullet="t"/>
    </w:pict>
  </w:numPicBullet>
  <w:numPicBullet w:numPicBulletId="8">
    <w:pict>
      <v:shape id="_x0000_i1190" type="#_x0000_t75" style="width:3in;height:3in" o:bullet="t"/>
    </w:pict>
  </w:numPicBullet>
  <w:numPicBullet w:numPicBulletId="9">
    <w:pict>
      <v:shape id="_x0000_i1191" type="#_x0000_t75" style="width:3in;height:3in" o:bullet="t"/>
    </w:pict>
  </w:numPicBullet>
  <w:numPicBullet w:numPicBulletId="10">
    <w:pict>
      <v:shape id="_x0000_i1192" type="#_x0000_t75" style="width:3in;height:3in" o:bullet="t"/>
    </w:pict>
  </w:numPicBullet>
  <w:numPicBullet w:numPicBulletId="11">
    <w:pict>
      <v:shape id="_x0000_i1193" type="#_x0000_t75" style="width:3in;height:3in" o:bullet="t"/>
    </w:pict>
  </w:numPicBullet>
  <w:numPicBullet w:numPicBulletId="12">
    <w:pict>
      <v:shape id="_x0000_i119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2D6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2022-03-02T12:12:00Z</cp:lastPrinted>
  <dcterms:created xsi:type="dcterms:W3CDTF">2022-03-02T12:07:00Z</dcterms:created>
  <dcterms:modified xsi:type="dcterms:W3CDTF">2022-03-02T12:22:00Z</dcterms:modified>
</cp:coreProperties>
</file>